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BED" w:rsidRPr="00787783" w:rsidRDefault="00131010" w:rsidP="00131010">
      <w:pPr>
        <w:pStyle w:val="Heading1"/>
        <w:jc w:val="center"/>
        <w:rPr>
          <w:rFonts w:ascii="Arial" w:hAnsi="Arial" w:cs="Arial"/>
          <w:b/>
        </w:rPr>
      </w:pPr>
      <w:bookmarkStart w:id="0" w:name="_GoBack"/>
      <w:bookmarkEnd w:id="0"/>
      <w:r w:rsidRPr="005A198C">
        <w:rPr>
          <w:rFonts w:ascii="Arial" w:hAnsi="Arial" w:cs="Arial"/>
          <w:b/>
        </w:rPr>
        <w:t>GEORGIA COVID 19 Emergency Response</w:t>
      </w:r>
      <w:r w:rsidR="00343BED" w:rsidRPr="00787783">
        <w:rPr>
          <w:rFonts w:ascii="Arial" w:hAnsi="Arial" w:cs="Arial"/>
          <w:b/>
        </w:rPr>
        <w:t xml:space="preserve"> (Developed by the World Bank Group for the upcoming project) </w:t>
      </w:r>
    </w:p>
    <w:p w:rsidR="00131010" w:rsidRPr="00787783" w:rsidRDefault="00343BED" w:rsidP="00131010">
      <w:pPr>
        <w:pStyle w:val="Heading1"/>
        <w:jc w:val="center"/>
        <w:rPr>
          <w:rFonts w:ascii="Arial" w:hAnsi="Arial" w:cs="Arial"/>
          <w:b/>
        </w:rPr>
      </w:pPr>
      <w:r w:rsidRPr="00787783">
        <w:rPr>
          <w:rFonts w:ascii="Arial" w:hAnsi="Arial" w:cs="Arial"/>
          <w:b/>
        </w:rPr>
        <w:t>For internal Use only</w:t>
      </w: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rPr>
                <w:rFonts w:ascii="Arial" w:eastAsia="Times New Roman" w:hAnsi="Arial" w:cs="Arial"/>
                <w:b/>
                <w:color w:val="172D5F"/>
              </w:rPr>
            </w:pPr>
            <w:r w:rsidRPr="00787783">
              <w:rPr>
                <w:rFonts w:ascii="Arial" w:eastAsia="Times New Roman" w:hAnsi="Arial" w:cs="Arial"/>
                <w:b/>
                <w:color w:val="172D5F"/>
              </w:rPr>
              <w:t>Introduction and Context</w:t>
            </w:r>
          </w:p>
        </w:tc>
      </w:tr>
    </w:tbl>
    <w:p w:rsidR="00131010" w:rsidRPr="00787783" w:rsidRDefault="00131010" w:rsidP="00131010">
      <w:pPr>
        <w:spacing w:after="0" w:line="240" w:lineRule="auto"/>
        <w:ind w:left="-691" w:right="-691"/>
        <w:rPr>
          <w:rFonts w:ascii="Arial" w:hAnsi="Arial" w:cs="Arial"/>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r w:rsidRPr="00787783">
              <w:rPr>
                <w:rFonts w:ascii="Arial" w:eastAsia="Times New Roman" w:hAnsi="Arial" w:cs="Arial"/>
                <w:color w:val="7F7F7F"/>
              </w:rPr>
              <w:t>Country Context</w:t>
            </w:r>
          </w:p>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p>
          <w:p w:rsidR="00131010" w:rsidRPr="00787783" w:rsidRDefault="00131010" w:rsidP="008A4EC5">
            <w:pPr>
              <w:keepNext/>
              <w:widowControl w:val="0"/>
              <w:autoSpaceDE w:val="0"/>
              <w:autoSpaceDN w:val="0"/>
              <w:adjustRightInd w:val="0"/>
              <w:ind w:left="43"/>
              <w:rPr>
                <w:rFonts w:ascii="Arial" w:eastAsia="Times New Roman" w:hAnsi="Arial" w:cs="Arial"/>
                <w:b/>
                <w:color w:val="172D5F"/>
              </w:rPr>
            </w:pPr>
          </w:p>
        </w:tc>
      </w:tr>
    </w:tbl>
    <w:p w:rsidR="00131010" w:rsidRPr="00787783" w:rsidRDefault="00131010" w:rsidP="00131010">
      <w:pPr>
        <w:pStyle w:val="ListParagraph"/>
        <w:keepNext/>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Georgia is an upper-middle-income country with Gross Domestic Product (GDP) per capita of US$4,785 in 2019, and a population of approximately 3.7 million people (World Development Indicators, 2018).</w:t>
      </w:r>
      <w:r w:rsidRPr="00787783">
        <w:rPr>
          <w:rFonts w:ascii="Arial" w:hAnsi="Arial" w:cs="Arial"/>
        </w:rPr>
        <w:t xml:space="preserve">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Georgia’s economic reforms have favored economic growth and poverty reduction prior to the global outbreak of COVID-19.</w:t>
      </w:r>
      <w:r w:rsidRPr="00787783">
        <w:rPr>
          <w:rFonts w:ascii="Arial" w:hAnsi="Arial" w:cs="Arial"/>
          <w:b/>
        </w:rPr>
        <w:t xml:space="preserve"> </w:t>
      </w:r>
      <w:r w:rsidRPr="00787783">
        <w:rPr>
          <w:rFonts w:ascii="Arial" w:hAnsi="Arial" w:cs="Arial"/>
          <w:bCs/>
        </w:rPr>
        <w:t>The</w:t>
      </w:r>
      <w:r w:rsidRPr="00787783">
        <w:rPr>
          <w:rFonts w:ascii="Arial" w:hAnsi="Arial" w:cs="Arial"/>
        </w:rPr>
        <w:t xml:space="preserve"> outlook for the Georgian economy has been positive with an expected GDP growth of 4.3 percent in 2020.</w:t>
      </w:r>
      <w:r w:rsidRPr="00787783">
        <w:rPr>
          <w:rFonts w:ascii="Arial" w:hAnsi="Arial" w:cs="Arial"/>
          <w:b/>
        </w:rPr>
        <w:t xml:space="preserve"> </w:t>
      </w:r>
      <w:r w:rsidRPr="00787783">
        <w:rPr>
          <w:rFonts w:ascii="Arial" w:hAnsi="Arial" w:cs="Arial"/>
          <w:bCs/>
        </w:rPr>
        <w:t>The</w:t>
      </w:r>
      <w:r w:rsidRPr="00787783">
        <w:rPr>
          <w:rFonts w:ascii="Arial" w:hAnsi="Arial" w:cs="Arial"/>
        </w:rPr>
        <w:t xml:space="preserve"> Georgian economy has picked up pace from 4.9 percent in the first half of 2019 to 5.1 percent by the end of 2019. While domestic demand has been supported by higher consumption, investments have contracted due to the completion of several infrastructure projects and the decline in foreign direct investment (FDI). Net exports have improved considerably, reflecting slowing imports and the increased re-export of used cars and copper ores. On the supply side, all sectors, except mining and electricity production, has positively contributed to growth. Coupled with a system of targeted social transfers, economic growth has helped to nearly have the poverty rate from 37.4 percent in 2007 to 20.0 percent of the national poverty 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w:t>
      </w:r>
      <w:r w:rsidRPr="00787783">
        <w:rPr>
          <w:rFonts w:ascii="Arial" w:eastAsia="MS PGothic" w:hAnsi="Arial" w:cs="Arial"/>
          <w:lang w:eastAsia="ja-JP"/>
        </w:rPr>
        <w:t xml:space="preserve">and external downside risks, </w:t>
      </w:r>
      <w:r w:rsidRPr="00787783">
        <w:rPr>
          <w:rFonts w:ascii="Arial" w:hAnsi="Arial" w:cs="Arial"/>
        </w:rPr>
        <w:t xml:space="preserve">and the growth projections are now challenged by the larger global downturn arising from the COVID-19. </w:t>
      </w:r>
      <w:r w:rsidRPr="00787783">
        <w:rPr>
          <w:rFonts w:ascii="Arial" w:eastAsia="MS PGothic" w:hAnsi="Arial" w:cs="Arial"/>
          <w:lang w:eastAsia="ja-JP"/>
        </w:rPr>
        <w:t>Georgia’s GDP growth is expected to decline, and r</w:t>
      </w:r>
      <w:r w:rsidRPr="00787783">
        <w:rPr>
          <w:rFonts w:ascii="Arial" w:hAnsi="Arial" w:cs="Arial"/>
        </w:rPr>
        <w:t xml:space="preserve">isks to economic growth include greater than expected sluggishness in trading partners’ economies, weaker than expected domestic demand, slower growth in tourism 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to the depreciation of the Georgian </w:t>
      </w:r>
      <w:proofErr w:type="spellStart"/>
      <w:r w:rsidRPr="00787783">
        <w:rPr>
          <w:rFonts w:ascii="Arial" w:hAnsi="Arial" w:cs="Arial"/>
        </w:rPr>
        <w:t>Lari</w:t>
      </w:r>
      <w:proofErr w:type="spellEnd"/>
      <w:r w:rsidRPr="00787783">
        <w:rPr>
          <w:rFonts w:ascii="Arial" w:hAnsi="Arial" w:cs="Arial"/>
        </w:rPr>
        <w:t xml:space="preserve"> (GEL) by 13 percent in March 2020 (IMF), the rising of consumer prices, and putting pressures on foreign exchange reserves in the country.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A state of emergency was declared on March 21, 2020 to counter the global coronavirus pandemic. </w:t>
      </w:r>
      <w:r w:rsidRPr="00787783">
        <w:rPr>
          <w:rFonts w:ascii="Arial" w:eastAsia="Times New Roman" w:hAnsi="Arial" w:cs="Arial"/>
          <w:b/>
          <w:bCs/>
        </w:rPr>
        <w:t xml:space="preserve"> </w:t>
      </w:r>
      <w:r w:rsidRPr="00787783">
        <w:rPr>
          <w:rFonts w:ascii="Arial" w:hAnsi="Arial" w:cs="Arial"/>
        </w:rPr>
        <w:t>The first cases of the COVID-19 in Georgia were confirmed on February 26, 2020. As of April 18, 2020, the total number of infected people had risen to 388 with 86 recoveries and 4 deaths.</w:t>
      </w:r>
      <w:r w:rsidRPr="00787783">
        <w:rPr>
          <w:rStyle w:val="FootnoteReference"/>
          <w:rFonts w:ascii="Arial" w:hAnsi="Arial" w:cs="Arial"/>
        </w:rPr>
        <w:footnoteReference w:id="1"/>
      </w:r>
      <w:r w:rsidRPr="00787783">
        <w:rPr>
          <w:rFonts w:ascii="Arial" w:hAnsi="Arial" w:cs="Arial"/>
        </w:rPr>
        <w:t xml:space="preserve">  Critical restrictions are imposed on movement in line with social distancing practices that are emerging worldwide. Following the announcement of the state of emergency, all educational institutions and many public venues, including gyms, museums, and theaters, malls, bars and restaurants were closed. Strict transportation restrictions were </w:t>
      </w:r>
      <w:r w:rsidRPr="00787783">
        <w:rPr>
          <w:rFonts w:ascii="Arial" w:hAnsi="Arial" w:cs="Arial"/>
        </w:rPr>
        <w:lastRenderedPageBreak/>
        <w:t xml:space="preserve">introduced, including the suspension of air and rail traffic, as well as border closures with neighboring countries, Armenia, Azerbaijan, and Russia. Additional quarantine measures have followed, </w:t>
      </w:r>
      <w:r w:rsidRPr="00787783">
        <w:rPr>
          <w:rFonts w:ascii="Arial" w:hAnsi="Arial" w:cs="Arial"/>
          <w:color w:val="000000" w:themeColor="text1"/>
        </w:rPr>
        <w:t xml:space="preserve">including </w:t>
      </w:r>
      <w:r w:rsidRPr="00787783">
        <w:rPr>
          <w:rStyle w:val="normaltextrun1"/>
          <w:rFonts w:ascii="Arial" w:hAnsi="Arial" w:cs="Arial"/>
          <w:color w:val="000000" w:themeColor="text1"/>
        </w:rPr>
        <w:t>curfew f</w:t>
      </w:r>
      <w:r w:rsidRPr="00787783">
        <w:rPr>
          <w:rFonts w:ascii="Arial" w:hAnsi="Arial" w:cs="Arial"/>
          <w:color w:val="000000" w:themeColor="text1"/>
        </w:rPr>
        <w:t xml:space="preserve">rom </w:t>
      </w:r>
      <w:r w:rsidRPr="00787783">
        <w:rPr>
          <w:rFonts w:ascii="Arial" w:hAnsi="Arial" w:cs="Arial"/>
        </w:rPr>
        <w:t>9:00 pm to 6:00 am; prohibition of meetings of more than 10 people, public events and other mass events, schools and universities shift to online and distance-learning methods.</w:t>
      </w:r>
      <w:r w:rsidRPr="00787783">
        <w:rPr>
          <w:rStyle w:val="FootnoteReference"/>
          <w:rFonts w:ascii="Arial" w:hAnsi="Arial" w:cs="Arial"/>
        </w:rPr>
        <w:footnoteReference w:id="2"/>
      </w:r>
      <w:r w:rsidRPr="00787783">
        <w:rPr>
          <w:rFonts w:ascii="Arial" w:hAnsi="Arial" w:cs="Arial"/>
        </w:rPr>
        <w:t xml:space="preserve"> The Government decided to make all medical care related to COVID-19 free of charge, regardless of whether patients have medical insurance.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In the absence of immediate mitigation measures, the COVID-19 health crisis is likely to be most severe for vulnerable households, influencing their ability to abide by actions (such as social distancing) to contain the spread of the disease. </w:t>
      </w:r>
      <w:r w:rsidRPr="00787783">
        <w:rPr>
          <w:rFonts w:ascii="Arial" w:eastAsia="Times New Roman" w:hAnsi="Arial" w:cs="Arial"/>
          <w:bCs/>
        </w:rPr>
        <w:t xml:space="preserve">COVID-19 poses serious social and economic challenges to the country and represents </w:t>
      </w:r>
      <w:r w:rsidRPr="00787783">
        <w:rPr>
          <w:rFonts w:ascii="Arial" w:hAnsi="Arial" w:cs="Arial"/>
          <w:bCs/>
        </w:rPr>
        <w:t>a severe risk of losing important gains in the fight against poverty</w:t>
      </w:r>
      <w:r w:rsidRPr="00787783">
        <w:rPr>
          <w:rFonts w:ascii="Arial" w:eastAsia="Times New Roman" w:hAnsi="Arial" w:cs="Arial"/>
          <w:bCs/>
        </w:rPr>
        <w:t>.</w:t>
      </w:r>
      <w:r w:rsidRPr="00787783">
        <w:rPr>
          <w:rFonts w:ascii="Arial" w:eastAsia="Times New Roman" w:hAnsi="Arial" w:cs="Arial"/>
          <w:b/>
        </w:rPr>
        <w:t xml:space="preserve"> </w:t>
      </w:r>
      <w:r w:rsidRPr="00787783">
        <w:rPr>
          <w:rFonts w:ascii="Arial" w:hAnsi="Arial" w:cs="Arial"/>
        </w:rPr>
        <w:t>The lockdown and closure of all non-essential business activities, especially if sustained over time, are expected to slow down the production, increase layoffs, reduce labor income especially for private sector workers with significant adverse impacts on employment and poverty. Economic activities, particularly in the tourism and hospitality sectors, have come to a standstill. The longer the outbreak persists the more (and more severely) it is likely to negatively impact the overall employment and economy. Existing workers are expected either to lose jobs or to lose a substantial share of their labor income due to the lower level of activity because of the lockdown and sustained government’s restrictions. Considering the global spread of COVID-19 and its impacts in Europe, South Caucasus and Russia (which represent more than 90 percent of the Georgian migrant stock), there are likely to be reductions in remittances.</w:t>
      </w:r>
      <w:r w:rsidRPr="00787783">
        <w:rPr>
          <w:rStyle w:val="FootnoteReference"/>
          <w:rFonts w:ascii="Arial" w:hAnsi="Arial" w:cs="Arial"/>
        </w:rPr>
        <w:footnoteReference w:id="3"/>
      </w:r>
      <w:r w:rsidRPr="00787783">
        <w:rPr>
          <w:rFonts w:ascii="Arial" w:hAnsi="Arial" w:cs="Arial"/>
        </w:rPr>
        <w:t xml:space="preserve"> Increasing unemployment and declining remittances are expected to have a negative effects on vulnerable households and a potential increase in the prevalence and depth of poverty. The adverse effects are likely to be disproportionately felt by households with inadequate coping strategies or insurance mechanisms. Demand for social assistance (TSA) due to losses or decreases in income are expected to increase : under conservative estimates, around 35,000 household would become eligible to TSA (a 68 percent increase).</w:t>
      </w:r>
      <w:r w:rsidRPr="00787783">
        <w:rPr>
          <w:rStyle w:val="FootnoteReference"/>
          <w:rFonts w:ascii="Arial" w:hAnsi="Arial" w:cs="Arial"/>
        </w:rPr>
        <w:footnoteReference w:id="4"/>
      </w:r>
      <w:r w:rsidRPr="00787783">
        <w:rPr>
          <w:rFonts w:ascii="Arial" w:hAnsi="Arial" w:cs="Arial"/>
        </w:rPr>
        <w:t xml:space="preserve"> In the absence of financial support for vulnerable households who have lost their main source of income, there are concerns that there will be incentives </w:t>
      </w:r>
      <w:r w:rsidRPr="00787783">
        <w:rPr>
          <w:rFonts w:ascii="Arial" w:hAnsi="Arial" w:cs="Arial"/>
          <w:i/>
        </w:rPr>
        <w:t>not</w:t>
      </w:r>
      <w:r w:rsidRPr="00787783">
        <w:rPr>
          <w:rFonts w:ascii="Arial" w:hAnsi="Arial" w:cs="Arial"/>
        </w:rPr>
        <w:t xml:space="preserve"> to stay-at-home, as people will go out to look for ways to support their livelihoods.</w:t>
      </w:r>
    </w:p>
    <w:p w:rsidR="00131010" w:rsidRPr="00787783" w:rsidRDefault="00131010" w:rsidP="00131010">
      <w:pPr>
        <w:pStyle w:val="ListParagraph"/>
        <w:spacing w:before="120" w:after="120" w:line="240" w:lineRule="auto"/>
        <w:ind w:left="0"/>
        <w:contextualSpacing w:val="0"/>
        <w:jc w:val="both"/>
        <w:rPr>
          <w:rFonts w:ascii="Arial" w:hAnsi="Arial" w:cs="Arial"/>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r w:rsidRPr="00787783">
              <w:rPr>
                <w:rStyle w:val="normaltextrun"/>
                <w:rFonts w:ascii="Arial" w:hAnsi="Arial" w:cs="Arial"/>
                <w:color w:val="000000"/>
              </w:rPr>
              <w:br w:type="page"/>
            </w:r>
            <w:r w:rsidRPr="00787783">
              <w:rPr>
                <w:rFonts w:ascii="Arial" w:eastAsia="Times New Roman" w:hAnsi="Arial" w:cs="Arial"/>
                <w:color w:val="7F7F7F"/>
              </w:rPr>
              <w:t>Sectoral and Institutional Context</w:t>
            </w:r>
          </w:p>
        </w:tc>
      </w:tr>
    </w:tbl>
    <w:p w:rsidR="00131010" w:rsidRPr="00787783" w:rsidRDefault="00131010" w:rsidP="00131010">
      <w:pPr>
        <w:spacing w:after="0" w:line="240" w:lineRule="auto"/>
        <w:ind w:left="-691" w:right="-691"/>
        <w:rPr>
          <w:rFonts w:ascii="Arial" w:hAnsi="Arial" w:cs="Arial"/>
        </w:rPr>
      </w:pP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Georgia has made progress in improving health system performance and outcomes, but the increasing burden of non-communicable diseases (NCDs) and high prevalence of risk factors presents challenges.</w:t>
      </w:r>
      <w:r w:rsidRPr="00787783">
        <w:rPr>
          <w:rFonts w:ascii="Arial" w:hAnsi="Arial" w:cs="Arial"/>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Pr="00787783">
        <w:rPr>
          <w:rFonts w:ascii="Arial" w:hAnsi="Arial" w:cs="Arial"/>
          <w:vertAlign w:val="superscript"/>
        </w:rPr>
        <w:footnoteReference w:id="5"/>
      </w:r>
      <w:r w:rsidRPr="00787783">
        <w:rPr>
          <w:rFonts w:ascii="Arial" w:hAnsi="Arial" w:cs="Arial"/>
        </w:rPr>
        <w:t xml:space="preserve"> NCDs account for more than 81.2 percent of the burden of disease in Georgia, and </w:t>
      </w:r>
      <w:r w:rsidRPr="00787783">
        <w:rPr>
          <w:rFonts w:ascii="Arial" w:hAnsi="Arial" w:cs="Arial"/>
        </w:rPr>
        <w:lastRenderedPageBreak/>
        <w:t>92.2 percent of all deaths. Prevalence of risk factors is high: 28 percent of the adult population is hypertensive, 21 percent is obese, and almost 58 percent of men smoke. Georgia’s population is also aging rapidly. Around 17.5 percent of the population is older than 60 years, while 3.3 percent of the population is older than 80 years.</w:t>
      </w:r>
      <w:r w:rsidRPr="00787783">
        <w:rPr>
          <w:rFonts w:ascii="Arial" w:hAnsi="Arial" w:cs="Arial"/>
          <w:vertAlign w:val="superscript"/>
        </w:rPr>
        <w:footnoteReference w:id="6"/>
      </w:r>
      <w:r w:rsidRPr="00787783">
        <w:rPr>
          <w:rFonts w:ascii="Arial" w:hAnsi="Arial" w:cs="Arial"/>
        </w:rPr>
        <w:t xml:space="preserve"> This poses additional challenges in dealing with a COVID-19 emergency since evidence from other countries suggests that the older populations, especially those with pre-existing health conditions, are at higher risk of contracting the disease and, if infected, often require more intensive care.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Hospitals are predominantly privately owned with </w:t>
      </w:r>
      <w:r w:rsidRPr="00787783">
        <w:rPr>
          <w:rFonts w:ascii="Arial" w:hAnsi="Arial" w:cs="Arial"/>
          <w:b/>
        </w:rPr>
        <w:t>most</w:t>
      </w:r>
      <w:r w:rsidRPr="00787783">
        <w:rPr>
          <w:rFonts w:ascii="Arial" w:hAnsi="Arial" w:cs="Arial"/>
          <w:b/>
          <w:bCs/>
        </w:rPr>
        <w:t xml:space="preserve"> of them operating with fewer than 100 beds as a result of reforms introduced from 2007 to 2012</w:t>
      </w:r>
      <w:r w:rsidRPr="00787783">
        <w:rPr>
          <w:rFonts w:ascii="Arial" w:hAnsi="Arial" w:cs="Arial"/>
        </w:rPr>
        <w:t>. The medical insurance program (MIP) was launched in 2007. The MIP targeted poor households, teachers, orphaned children and some other vulnerable groups. It covered a defined set of primary care benefits, emergency care, elective surgery, delivery and cancer treatment. The Government of Georgia (</w:t>
      </w:r>
      <w:proofErr w:type="spellStart"/>
      <w:r w:rsidRPr="00787783">
        <w:rPr>
          <w:rFonts w:ascii="Arial" w:hAnsi="Arial" w:cs="Arial"/>
        </w:rPr>
        <w:t>GoG</w:t>
      </w:r>
      <w:proofErr w:type="spellEnd"/>
      <w:r w:rsidRPr="00787783">
        <w:rPr>
          <w:rFonts w:ascii="Arial" w:hAnsi="Arial" w:cs="Arial"/>
        </w:rPr>
        <w:t xml:space="preserve">) contracted out the MIP to private insurance companies. In 2009, the </w:t>
      </w:r>
      <w:proofErr w:type="spellStart"/>
      <w:r w:rsidRPr="00787783">
        <w:rPr>
          <w:rFonts w:ascii="Arial" w:hAnsi="Arial" w:cs="Arial"/>
        </w:rPr>
        <w:t>GoG</w:t>
      </w:r>
      <w:proofErr w:type="spellEnd"/>
      <w:r w:rsidRPr="00787783">
        <w:rPr>
          <w:rFonts w:ascii="Arial" w:hAnsi="Arial" w:cs="Arial"/>
        </w:rPr>
        <w:t xml:space="preserve"> introduced the voluntary health insurance program to encourage non-MIP beneficiaries to enroll with private insurance companies. The VHI program targeted people aged 3-60 years of age not covered by MIP and not already covered by private insurance. 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In 2013, Georgia moved from private VHI to publicly funded health coverage through the UHC Program, however, more than 85 percent of hospital capacity is still private.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In February 2013, the Government of Georgia launched the Universal Health Coverage (UHC) program to increase access to services and improve financial protection.</w:t>
      </w:r>
      <w:r w:rsidRPr="00787783">
        <w:rPr>
          <w:rFonts w:ascii="Arial" w:hAnsi="Arial" w:cs="Arial"/>
        </w:rPr>
        <w:t xml:space="preserve"> The following year all state-funded health insurance programs were pooled together and administered by the Social Service Agency (SSA). The benefits package covers a range of primary and secondary care services, including planned ambulatory care, emergency outpatient and inpatient services, elective surgery, oncological services, obstetric care, and some essential drugs. The UHC program covered almost 90 percent of the population in 2018, with the remaining share of the population covered 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 to approximately 75 percent of public health spending in 2016.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Government health spending in Georgia, however, remains relatively low, representing 3 percent of GDP in 2017. </w:t>
      </w:r>
      <w:r w:rsidRPr="00787783">
        <w:rPr>
          <w:rFonts w:ascii="Arial" w:hAnsi="Arial" w:cs="Arial"/>
        </w:rPr>
        <w:t xml:space="preserve">Out-of-pocket spending has declined substantially since the introduction of the UHC program in 2013, but still accounted for 54.8 percent (declined from 69.1 percent in 2013) of total health spending in 2017. This points to an underlying vulnerability for poorer populations and limited financial protection. These groups stand to be particularly at risk as COVID-19 unfolds. The health system’s resilience is limited and in need of financing in order to ensure that, in a time of crisis and rapidly unfolding pandemic, it is better positioned to meet the needs of citizens, particularly those who are vulnerable. The COVID-19 epidemic will likely exacerbate existing challenges related to the financial sustainability of the UHC Program.  As the purchaser of health services for the UHC Program, the SSA has potentially the power to purchase services strategically and manage costs effectively.  However, the SSA is a passive payer not a strategic purchaser. The SSA’s main instruments for ensuring that services are </w:t>
      </w:r>
      <w:r w:rsidRPr="00787783">
        <w:rPr>
          <w:rFonts w:ascii="Arial" w:hAnsi="Arial" w:cs="Arial"/>
        </w:rPr>
        <w:lastRenderedPageBreak/>
        <w:t xml:space="preserve">delivered appropriately are prior authorization and claims management. However, in practice, the SSA reimburses all claims from hospitals due to the complex payment system, which consists of different tariff setting and copayment rules for different types of hospital care. The government is in the process of revising the tariffs and payment methods to improve efficiency and ensure the sustainability of the system.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The Government of Georgia has initiated an effective multi-sectoral response to COVID-19. </w:t>
      </w:r>
      <w:r w:rsidRPr="00787783">
        <w:rPr>
          <w:rFonts w:ascii="Arial" w:hAnsi="Arial" w:cs="Arial"/>
        </w:rPr>
        <w:t xml:space="preserve">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Pr="00787783">
        <w:rPr>
          <w:rFonts w:ascii="Arial" w:hAnsi="Arial" w:cs="Arial"/>
        </w:rPr>
        <w:t>GoG</w:t>
      </w:r>
      <w:proofErr w:type="spellEnd"/>
      <w:r w:rsidRPr="00787783">
        <w:rPr>
          <w:rFonts w:ascii="Arial" w:hAnsi="Arial" w:cs="Arial"/>
        </w:rPr>
        <w:t xml:space="preserve"> Decree #625) and established a national multi-sectoral committee. Under the Operational Response Plan, approved by the </w:t>
      </w:r>
      <w:proofErr w:type="spellStart"/>
      <w:r w:rsidRPr="00787783">
        <w:rPr>
          <w:rFonts w:ascii="Arial" w:hAnsi="Arial" w:cs="Arial"/>
        </w:rPr>
        <w:t>GoG</w:t>
      </w:r>
      <w:proofErr w:type="spellEnd"/>
      <w:r w:rsidRPr="00787783">
        <w:rPr>
          <w:rFonts w:ascii="Arial" w:hAnsi="Arial" w:cs="Arial"/>
        </w:rPr>
        <w:t xml:space="preserve">, each line ministry and government entity has clearly defined roles and responsibilities at every stage of COVID-19 response. On January 31, 2020, Georgia has adopted the case definition of the COVID-19 and intensified epidemiological surveillance throughout the country. On March 2, 2020, the Government Reserve Fund has allocated 1 million GEL (US$ 358,358 equivalent) to the </w:t>
      </w:r>
      <w:proofErr w:type="spellStart"/>
      <w:r w:rsidRPr="00787783">
        <w:rPr>
          <w:rFonts w:ascii="Arial" w:hAnsi="Arial" w:cs="Arial"/>
        </w:rPr>
        <w:t>MoILHSA</w:t>
      </w:r>
      <w:proofErr w:type="spellEnd"/>
      <w:r w:rsidRPr="00787783">
        <w:rPr>
          <w:rFonts w:ascii="Arial" w:hAnsi="Arial" w:cs="Arial"/>
        </w:rPr>
        <w:t xml:space="preserve"> to respond to the challenge of the new coronavirus in Georgia. The government has also scaled up its communication efforts by establishing a unified hotline and an informational platform (StopCov.ge is a web site available in five languages with all necessary governmental links and related information). In addition, on April 16, 2020, the </w:t>
      </w:r>
      <w:proofErr w:type="spellStart"/>
      <w:r w:rsidRPr="00787783">
        <w:rPr>
          <w:rFonts w:ascii="Arial" w:hAnsi="Arial" w:cs="Arial"/>
        </w:rPr>
        <w:t>GoG</w:t>
      </w:r>
      <w:proofErr w:type="spellEnd"/>
      <w:r w:rsidRPr="00787783">
        <w:rPr>
          <w:rFonts w:ascii="Arial" w:hAnsi="Arial" w:cs="Arial"/>
        </w:rPr>
        <w:t xml:space="preserve"> launched the STOP COVID contract tracing app, which has been used in Japan, South Korea, and Singapore.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 xml:space="preserve">To ensure the preparedness of the health system to address the pandemic, the government has identified a list of designated public and private facilities to provide treatment to COVID-19 patients. </w:t>
      </w:r>
      <w:r w:rsidRPr="00787783">
        <w:rPr>
          <w:rFonts w:ascii="Arial" w:hAnsi="Arial" w:cs="Arial"/>
        </w:rPr>
        <w:t xml:space="preserve">Given that more than 85 percent of health facilities in Georgia are privately owned, the government has decided to leverage the capacity of the private facilities, while at the same time strengthening the public facilities to fill critical gaps. Pursuant to Resolution 184 of the Government of Georgia (March 23, 2020) on establishment of different rules for the implementation of public and other administrative services, the Government has identified a list of public and private medical institutions to ensure full mobilization of the health sector in accordance with the </w:t>
      </w:r>
      <w:proofErr w:type="spellStart"/>
      <w:r w:rsidRPr="00787783">
        <w:rPr>
          <w:rFonts w:ascii="Arial" w:hAnsi="Arial" w:cs="Arial"/>
        </w:rPr>
        <w:t>MoILHSA’s</w:t>
      </w:r>
      <w:proofErr w:type="spellEnd"/>
      <w:r w:rsidRPr="00787783">
        <w:rPr>
          <w:rFonts w:ascii="Arial" w:hAnsi="Arial" w:cs="Arial"/>
        </w:rPr>
        <w:t xml:space="preserve"> guidelines. This includes a list of facilities that will manage high-risk patients (individuals in quarantine or self-isolation areas and those who had contact with confirmed COVID-19 patients), as well as facilities, referred to as fever clinics, designated for primary triage and diagnostics for individuals presenting with fever.  In addition, seven public laboratories have been designated for testing.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 xml:space="preserve">All diagnostic, laboratory, and treatment costs of the COVID-19 patients are covered by the </w:t>
      </w:r>
      <w:proofErr w:type="spellStart"/>
      <w:r w:rsidRPr="00787783">
        <w:rPr>
          <w:rFonts w:ascii="Arial" w:hAnsi="Arial" w:cs="Arial"/>
          <w:b/>
        </w:rPr>
        <w:t>GoG</w:t>
      </w:r>
      <w:proofErr w:type="spellEnd"/>
      <w:r w:rsidRPr="00787783">
        <w:rPr>
          <w:rFonts w:ascii="Arial" w:hAnsi="Arial" w:cs="Arial"/>
          <w:b/>
        </w:rPr>
        <w:t>. SSA</w:t>
      </w:r>
      <w:r w:rsidRPr="00787783">
        <w:rPr>
          <w:rFonts w:ascii="Arial" w:hAnsi="Arial" w:cs="Arial"/>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w:t>
      </w:r>
      <w:proofErr w:type="spellStart"/>
      <w:r w:rsidRPr="00787783">
        <w:rPr>
          <w:rFonts w:ascii="Arial" w:hAnsi="Arial" w:cs="Arial"/>
        </w:rPr>
        <w:t>MoILHSA</w:t>
      </w:r>
      <w:proofErr w:type="spellEnd"/>
      <w:r w:rsidRPr="00787783">
        <w:rPr>
          <w:rFonts w:ascii="Arial" w:hAnsi="Arial" w:cs="Arial"/>
        </w:rPr>
        <w:t xml:space="preserve"> will provide PPEs to all public and private facilities.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rPr>
        <w:t xml:space="preserve"> </w:t>
      </w:r>
      <w:r w:rsidRPr="00787783">
        <w:rPr>
          <w:rFonts w:ascii="Arial" w:hAnsi="Arial" w:cs="Arial"/>
          <w:b/>
        </w:rPr>
        <w:t xml:space="preserve">Following the approach adopted in other countries, such as Germany, the government has introduced a temporary transfer to public and private hospitals in the form of a global budget to ensure standby readiness and compensate facilities for losses in </w:t>
      </w:r>
      <w:r w:rsidRPr="00787783">
        <w:rPr>
          <w:rFonts w:ascii="Arial" w:hAnsi="Arial" w:cs="Arial"/>
          <w:b/>
        </w:rPr>
        <w:lastRenderedPageBreak/>
        <w:t>revenue due to COVID-19.</w:t>
      </w:r>
      <w:r w:rsidRPr="00787783">
        <w:rPr>
          <w:rFonts w:ascii="Arial" w:hAnsi="Arial" w:cs="Arial"/>
        </w:rPr>
        <w:t xml:space="preserve"> The government has established thresholds for the number of registered COVID-19 cases based on which facilities will be engaged in the response plan. Once the threshold is met, the facility is notified and needs to empty its premises within 48-96 hours to accept COVID-19 patients. SSA will make the transfers to facilities to compensate them for lost revenues as a result. To ensure that medical facilities are on standby and ready-to-receive COVID-19 patients, the government has developed a mechanism to compensate the designated facilities for idle capacity. The </w:t>
      </w:r>
      <w:proofErr w:type="spellStart"/>
      <w:r w:rsidRPr="00787783">
        <w:rPr>
          <w:rFonts w:ascii="Arial" w:hAnsi="Arial" w:cs="Arial"/>
        </w:rPr>
        <w:t>MoILHSA</w:t>
      </w:r>
      <w:proofErr w:type="spellEnd"/>
      <w:r w:rsidRPr="00787783">
        <w:rPr>
          <w:rFonts w:ascii="Arial" w:hAnsi="Arial" w:cs="Arial"/>
        </w:rPr>
        <w:t xml:space="preserve"> has estimated the cost per un-occupied bed using expenditure data provided by the facilities for the last three months. Facilities with 80 beds or fewer will receive on average 100 GEL per bed, and those with more than 80 beds will receive 120 GEL per bed. This fixed amount includes salaries of medical staff and utility bills, as well as operational costs. The government has defined three stages for standby readiness based on the number of cases (1050 beds in the first stage, 2000 beds in the second stage, and 4000 beds in the third stage).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In addition to strengthening surge capacity, mitigation measures including social distancing are key in the response to the pandemic.</w:t>
      </w:r>
      <w:r w:rsidRPr="00787783">
        <w:rPr>
          <w:rFonts w:ascii="Arial" w:hAnsi="Arial" w:cs="Arial"/>
        </w:rPr>
        <w:t xml:space="preserve"> The health system needs to prepare to face an increased demand for hospitalization and critical care of COVID-19 patients, while remaining able to provide at least basic services for the non-COVID19 patients. However, in order for countries to flatten the curve and not overwhelm the health system all at once, evidence from other countries shows that mitigation measures including social distancing are essential to reduce community transmission and therefore the number of people infected. An assessment of social distancing measures from China revealed that non pharmaceutical interventions such as community social distancing and lockdowns reduced transmissibility of COVID-19, and the first wave of COVID-19 outside Hubei province was abated because of aggressive non pharmaceutical interventions, including social distancing measures and lockdown. As a result, the Case Fatality Rate outside of Hubei was nearly five times lower and correlated with the reduction in mobility.</w:t>
      </w:r>
      <w:r w:rsidRPr="00787783">
        <w:rPr>
          <w:rStyle w:val="FootnoteReference"/>
          <w:rFonts w:ascii="Arial" w:hAnsi="Arial" w:cs="Arial"/>
        </w:rPr>
        <w:footnoteReference w:id="7"/>
      </w:r>
      <w:r w:rsidRPr="00787783">
        <w:rPr>
          <w:rFonts w:ascii="Arial" w:hAnsi="Arial" w:cs="Arial"/>
        </w:rPr>
        <w:t xml:space="preserve"> Modeling revealed that relaxation of the social distancing when the epidemic size was still small would have pushed COVID-19 prevalence back to baseline. Evidence from the 1918 Spanish Flu pandemic in the United States has also emphasizes that </w:t>
      </w:r>
      <w:proofErr w:type="spellStart"/>
      <w:r w:rsidRPr="00787783">
        <w:rPr>
          <w:rFonts w:ascii="Arial" w:hAnsi="Arial" w:cs="Arial"/>
        </w:rPr>
        <w:t>nonpharmaceutical</w:t>
      </w:r>
      <w:proofErr w:type="spellEnd"/>
      <w:r w:rsidRPr="00787783">
        <w:rPr>
          <w:rFonts w:ascii="Arial" w:hAnsi="Arial" w:cs="Arial"/>
        </w:rPr>
        <w:t xml:space="preserve"> interventions, when imposed early in the epidemic course, can result in lower peaks and fewer total cases of pandemic influenza than instances in which authorities did not place or delayed placing of lockdowns.</w:t>
      </w:r>
      <w:r w:rsidRPr="00787783">
        <w:rPr>
          <w:rStyle w:val="FootnoteReference"/>
          <w:rFonts w:ascii="Arial" w:hAnsi="Arial" w:cs="Arial"/>
        </w:rPr>
        <w:footnoteReference w:id="8"/>
      </w:r>
      <w:r w:rsidRPr="00787783">
        <w:rPr>
          <w:rFonts w:ascii="Arial" w:hAnsi="Arial" w:cs="Arial"/>
        </w:rPr>
        <w:t xml:space="preserve"> Although a large uncertainty remains on the virus and most of the prediction are based on evolving modeling, epidemiologists are warning that countries should expect to see population infection rates between 25 percent and 80 percent over the course of the epidemic</w:t>
      </w:r>
      <w:r w:rsidRPr="00787783">
        <w:rPr>
          <w:rStyle w:val="FootnoteReference"/>
          <w:rFonts w:ascii="Arial" w:hAnsi="Arial" w:cs="Arial"/>
        </w:rPr>
        <w:footnoteReference w:id="9"/>
      </w:r>
      <w:r w:rsidRPr="00787783">
        <w:rPr>
          <w:rFonts w:ascii="Arial" w:hAnsi="Arial" w:cs="Arial"/>
        </w:rPr>
        <w:t xml:space="preserve"> unless mitigation measures are taken. In the case of Georgia, this could translate into up to 53 percent higher total number of infections, nearly 83 percent increase in total hospitalizations, and a 100 percent increase in deaths in the absence of mitigation measures like social distancing (Figure 2). </w:t>
      </w:r>
    </w:p>
    <w:p w:rsidR="00131010" w:rsidRPr="00787783" w:rsidRDefault="00131010" w:rsidP="00131010">
      <w:pPr>
        <w:pStyle w:val="Caption"/>
        <w:jc w:val="both"/>
        <w:rPr>
          <w:rFonts w:ascii="Arial" w:hAnsi="Arial" w:cs="Arial"/>
        </w:rPr>
      </w:pPr>
      <w:r w:rsidRPr="00787783">
        <w:rPr>
          <w:rFonts w:ascii="Arial" w:hAnsi="Arial" w:cs="Arial"/>
        </w:rPr>
        <w:lastRenderedPageBreak/>
        <w:t>Figure 2- Estimated impact of mitigation measures in Georgia</w:t>
      </w:r>
    </w:p>
    <w:p w:rsidR="00131010" w:rsidRPr="00787783" w:rsidRDefault="00131010" w:rsidP="00131010">
      <w:pPr>
        <w:rPr>
          <w:rFonts w:ascii="Arial" w:hAnsi="Arial" w:cs="Arial"/>
          <w:lang w:val="en-GB" w:eastAsia="hr-HR"/>
        </w:rPr>
      </w:pPr>
      <w:r w:rsidRPr="00787783">
        <w:rPr>
          <w:rFonts w:ascii="Arial" w:hAnsi="Arial" w:cs="Arial"/>
          <w:noProof/>
        </w:rPr>
        <w:drawing>
          <wp:inline distT="0" distB="0" distL="0" distR="0" wp14:anchorId="78EE22E3" wp14:editId="62BD4B7C">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0308"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rsidR="00131010" w:rsidRPr="00787783" w:rsidRDefault="00131010" w:rsidP="00131010">
      <w:pPr>
        <w:spacing w:after="0" w:line="240" w:lineRule="auto"/>
        <w:contextualSpacing/>
        <w:rPr>
          <w:rFonts w:ascii="Arial" w:hAnsi="Arial" w:cs="Arial"/>
          <w:sz w:val="18"/>
          <w:szCs w:val="18"/>
          <w:lang w:eastAsia="hr-HR"/>
        </w:rPr>
      </w:pPr>
      <w:r w:rsidRPr="00787783">
        <w:rPr>
          <w:rFonts w:ascii="Arial" w:hAnsi="Arial" w:cs="Arial"/>
          <w:i/>
          <w:sz w:val="18"/>
          <w:szCs w:val="18"/>
          <w:lang w:val="en-GB" w:eastAsia="hr-HR"/>
        </w:rPr>
        <w:t>Source:</w:t>
      </w:r>
      <w:r w:rsidRPr="00787783">
        <w:rPr>
          <w:rFonts w:ascii="Arial" w:hAnsi="Arial" w:cs="Arial"/>
          <w:sz w:val="18"/>
          <w:szCs w:val="18"/>
          <w:lang w:val="en-GB" w:eastAsia="hr-HR"/>
        </w:rPr>
        <w:t xml:space="preserve"> Imperial College estimates. Notes: </w:t>
      </w:r>
      <w:r w:rsidRPr="00787783">
        <w:rPr>
          <w:rFonts w:ascii="Arial" w:hAnsi="Arial" w:cs="Arial"/>
          <w:sz w:val="18"/>
          <w:szCs w:val="18"/>
          <w:lang w:eastAsia="hr-HR"/>
        </w:rPr>
        <w:t>"Unmitigated" = no intervention; "Social distancing whole population" = optimal outcome when epidemic is mitigated by interventions to limit contacts in the general population including social distancing; "Enhanced social distance of elderly"= optimal outcome when epidemic is mitigated by interventions to limit contacts in the general population including social distancing, alongside enhanced social distancing of people over 70 years old  (modelled as a 60 percent reduction in contact rate).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To enforce social distancing measures, the establishment of mechanisms to support the most disadvantaged and the poor is essential. </w:t>
      </w:r>
      <w:r w:rsidRPr="00787783">
        <w:rPr>
          <w:rFonts w:ascii="Arial" w:hAnsi="Arial" w:cs="Arial"/>
        </w:rPr>
        <w:t>First, social assistance and financial support (in the form of cash transfers) creates an enabling environment for people to stay at home and respect the required social distancing and lockdown orders, rather than pursue activities outside of their homes to support their livelihoods. Also, measures to contain the outbreak and the resultant economic downturn will not only affect the poor, but also potentially send large numbers of people into poverty, exacerbating inequalities among the population. Marginalized communities are bearing disproportionate costs of lockdowns because their members are more likely to have lost their jobs (formal or informal), not have a stable home or shelter, nor access to food, health care and other basic services.</w:t>
      </w:r>
      <w:r w:rsidRPr="00787783">
        <w:rPr>
          <w:rFonts w:ascii="Arial" w:hAnsi="Arial" w:cs="Arial"/>
          <w:vertAlign w:val="superscript"/>
        </w:rPr>
        <w:t>2</w:t>
      </w:r>
      <w:r w:rsidRPr="00787783">
        <w:rPr>
          <w:rFonts w:ascii="Arial" w:hAnsi="Arial" w:cs="Arial"/>
        </w:rPr>
        <w:t xml:space="preserve"> They are also less likely to be able to observe basic public health measures, including handwashing, due to the lack of proper water and sanitation facilities in their communities, which put them more at risk of the spread of infection. </w:t>
      </w:r>
      <w:r w:rsidRPr="00787783">
        <w:rPr>
          <w:rFonts w:ascii="Arial" w:hAnsi="Arial" w:cs="Arial"/>
          <w:color w:val="000000" w:themeColor="text1"/>
        </w:rPr>
        <w:t xml:space="preserve">Additionally, </w:t>
      </w:r>
      <w:r w:rsidRPr="00787783">
        <w:rPr>
          <w:rFonts w:ascii="Arial" w:hAnsi="Arial" w:cs="Arial"/>
        </w:rPr>
        <w:t>women constitute the majority of workers in the non-agricultural informal sector in many countries</w:t>
      </w:r>
      <w:r w:rsidRPr="00787783">
        <w:rPr>
          <w:rStyle w:val="FootnoteReference"/>
          <w:rFonts w:ascii="Arial" w:hAnsi="Arial" w:cs="Arial"/>
        </w:rPr>
        <w:footnoteReference w:id="10"/>
      </w:r>
      <w:r w:rsidRPr="00787783">
        <w:rPr>
          <w:rFonts w:ascii="Arial" w:hAnsi="Arial" w:cs="Arial"/>
        </w:rPr>
        <w:t>– leaving them more vulnerable to loss of livelihood and increased economic insecurity during lockdowns. While working from home is an option for white-collar professionals, lower-income individuals are more likely to work in 'blue collar' jobs or other service roles that cannot be conducted remotely. As a result, these individuals are disproportionally more likely to face employment furloughs or outright termination.  This can lead to social unrest as well.  For example, India - a country of over 1.3 billion people - has imposed a country-wide lockdown to slow the spread of the pandemic in the country, but this lockdown has exacerbated inequalities, and led to a migrant and informal worker crisis as many informal workers have no viable means to earn an income. This led to riots, rumor mongering, and incompliance of lockdowns, prompting the Indian government to announce a nearly US$23 billion social protection package for the poor. However, this amounts to less than 1 percent of India’s GDP, which is in a stark contrast to countries such as Singapore and the United States, which are spending 10 percent of their GDP on similar packages.</w:t>
      </w:r>
      <w:r w:rsidRPr="00787783">
        <w:rPr>
          <w:rStyle w:val="FootnoteReference"/>
          <w:rFonts w:ascii="Arial" w:hAnsi="Arial" w:cs="Arial"/>
        </w:rPr>
        <w:footnoteReference w:id="11"/>
      </w:r>
      <w:r w:rsidRPr="00787783">
        <w:rPr>
          <w:rFonts w:ascii="Arial" w:hAnsi="Arial" w:cs="Arial"/>
        </w:rPr>
        <w:t xml:space="preserve"> Lessons from previous epidemics including Ebola Viral Disease in West Africa, also highlight the dangers of imposing lockdowns without clear communication or social </w:t>
      </w:r>
      <w:r w:rsidRPr="00787783">
        <w:rPr>
          <w:rFonts w:ascii="Arial" w:hAnsi="Arial" w:cs="Arial"/>
        </w:rPr>
        <w:lastRenderedPageBreak/>
        <w:t>protection measures. For example, implementation of lockdowns in Guinea, Sierra Leone, and Liberia led to episodes of violence. Particularly, implementation of the cordon sanitaire in West Point, Liberia in absence of measures to provide food, has resulted in riots that derailed the country’ efforts to control the epidemic.</w:t>
      </w:r>
      <w:r w:rsidRPr="00787783">
        <w:rPr>
          <w:rStyle w:val="FootnoteReference"/>
          <w:rFonts w:ascii="Arial" w:hAnsi="Arial" w:cs="Arial"/>
        </w:rPr>
        <w:footnoteReference w:id="12"/>
      </w:r>
      <w:r w:rsidRPr="00787783">
        <w:rPr>
          <w:rFonts w:ascii="Arial" w:hAnsi="Arial" w:cs="Arial"/>
        </w:rPr>
        <w:t xml:space="preserve"> </w:t>
      </w:r>
      <w:r w:rsidRPr="00787783">
        <w:rPr>
          <w:rFonts w:ascii="Arial" w:hAnsi="Arial" w:cs="Arial"/>
          <w:b/>
          <w:bCs/>
        </w:rPr>
        <w:t xml:space="preserve"> </w:t>
      </w:r>
      <w:r w:rsidRPr="00787783">
        <w:rPr>
          <w:rFonts w:ascii="Arial" w:hAnsi="Arial" w:cs="Arial"/>
        </w:rPr>
        <w:t>Therefore, strategies to ensure that such communities are not further pushed into poverty and marginalized due to social distancing policies should be part of the full response.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Containment measures taken to preserve public health have caused job losses and led increases in poverty. </w:t>
      </w:r>
      <w:r w:rsidRPr="00787783">
        <w:rPr>
          <w:rFonts w:ascii="Arial" w:hAnsi="Arial" w:cs="Arial"/>
        </w:rPr>
        <w:t>The COVID-19 outbreak is causing countries worldwide to increase their prevention and preparedness regimes, aiming to avoid the virus’ spread.  As was the case with many other countries, Georgia adopted restrictive lockdown measures including quarantines, restrictions on travel, causing a disruption of supply chains and resultant economic downturn, which will directly affect a significant proportion of the population and push many into poverty.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The COVID-19 health and economic crisis are likely to impact the following groups in Georgia</w:t>
      </w:r>
      <w:r w:rsidRPr="00787783">
        <w:rPr>
          <w:rFonts w:ascii="Arial" w:hAnsi="Arial" w:cs="Arial"/>
        </w:rPr>
        <w:t>: (i) households and individuals relying on vulnerable employment (defined as casual labor, temporary work and informal self-employment) who are likely to lose their jobs due to the social distancing and or quarantines that led to closure of businesses; (ii) formal workers in all sectors, especially those who work in tourism, service (transportation and retail) and tradable sectors, who have been impacted by the economic lockdown; (iii) poor and near poor households who have less margin to cope with potential price increases;</w:t>
      </w:r>
      <w:r w:rsidRPr="00787783">
        <w:rPr>
          <w:rStyle w:val="FootnoteReference"/>
          <w:rFonts w:ascii="Arial" w:hAnsi="Arial" w:cs="Arial"/>
        </w:rPr>
        <w:footnoteReference w:id="13"/>
      </w:r>
      <w:r w:rsidRPr="00787783">
        <w:rPr>
          <w:rFonts w:ascii="Arial" w:hAnsi="Arial" w:cs="Arial"/>
        </w:rPr>
        <w:t xml:space="preserve"> and (iv) migrant workers who are unable to send money home to their families.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As</w:t>
      </w:r>
      <w:r w:rsidRPr="00787783">
        <w:rPr>
          <w:rFonts w:ascii="Arial" w:hAnsi="Arial" w:cs="Arial"/>
        </w:rPr>
        <w:t xml:space="preserve"> </w:t>
      </w:r>
      <w:r w:rsidRPr="00787783">
        <w:rPr>
          <w:rFonts w:ascii="Arial" w:hAnsi="Arial" w:cs="Arial"/>
          <w:b/>
          <w:bCs/>
        </w:rPr>
        <w:t xml:space="preserve">confinement and social distancing are urgently needed to flatten the curve, social protection measures are required to provide the right incentives to the most vulnerable individuals to stay-at-home. </w:t>
      </w:r>
      <w:r w:rsidRPr="00787783">
        <w:rPr>
          <w:rFonts w:ascii="Arial" w:hAnsi="Arial" w:cs="Arial"/>
        </w:rPr>
        <w:t>The lockdown of the country and the economic consequences of business closures have substantially affected the main resources of households: labor income, while closures in neighboring countries has affected the flow of remittances. Financial assistance is required to make sure that vulnerable households can cope with the situation. Such assistance can be provided by targeted cash transfers or in-kind benefits.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eastAsia="Times New Roman" w:hAnsi="Arial" w:cs="Arial"/>
          <w:b/>
          <w:bCs/>
        </w:rPr>
        <w:t>Georgia has a comprehensive social protection system which has played a key role in protecting poor and vulnerable households in the past decade.</w:t>
      </w:r>
      <w:r w:rsidRPr="00787783">
        <w:rPr>
          <w:rFonts w:ascii="Arial" w:eastAsia="Times New Roman" w:hAnsi="Arial" w:cs="Arial"/>
          <w:b/>
          <w:bCs/>
          <w:vertAlign w:val="superscript"/>
        </w:rPr>
        <w:t>1</w:t>
      </w:r>
      <w:r w:rsidRPr="00787783">
        <w:rPr>
          <w:rFonts w:ascii="Arial" w:eastAsia="Times New Roman" w:hAnsi="Arial" w:cs="Arial"/>
        </w:rPr>
        <w:t xml:space="preserve">  Social protection in Georgia includes a universal old age social pension(women </w:t>
      </w:r>
      <w:r w:rsidRPr="00787783">
        <w:rPr>
          <w:rFonts w:ascii="Arial" w:eastAsia="Times New Roman" w:hAnsi="Arial" w:cs="Arial"/>
          <w:lang w:val="ka-GE"/>
        </w:rPr>
        <w:t xml:space="preserve">60 </w:t>
      </w:r>
      <w:r w:rsidRPr="00787783">
        <w:rPr>
          <w:rFonts w:ascii="Arial" w:eastAsia="Times New Roman" w:hAnsi="Arial" w:cs="Arial"/>
        </w:rPr>
        <w:t xml:space="preserve">years and older and men 65 years and older) , the Targeted Social Assistance (TSA), including a child benefit introduced in 2015, benefits and services for Internally Displaced Persons (IDPs) from the occupied territories, social rehabilitation for persons with disabilities, benefits and services for war veterans, and benefits and services for protection of vulnerable children. There </w:t>
      </w:r>
      <w:proofErr w:type="gramStart"/>
      <w:r w:rsidRPr="00787783">
        <w:rPr>
          <w:rFonts w:ascii="Arial" w:eastAsia="Times New Roman" w:hAnsi="Arial" w:cs="Arial"/>
        </w:rPr>
        <w:t>are</w:t>
      </w:r>
      <w:proofErr w:type="gramEnd"/>
      <w:r w:rsidRPr="00787783">
        <w:rPr>
          <w:rFonts w:ascii="Arial" w:eastAsia="Times New Roman" w:hAnsi="Arial" w:cs="Arial"/>
        </w:rPr>
        <w:t xml:space="preserve"> also a myriad of social benefits administered at the local level (including health exemptions, education exemptions, housing benefits and energy and transportation subsidies). A newly implemented 2019 pension law complemented the flat universal pension, including a benefit of approximately 18 percent of the average monthly income, with a contributory pension savings system (See Annex 3 for more details).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eastAsia="Times New Roman" w:hAnsi="Arial" w:cs="Arial"/>
          <w:b/>
          <w:bCs/>
        </w:rPr>
        <w:t>The existing delivery system for targeted social assistance offers a solid basis for leveraging a response to the current shock</w:t>
      </w:r>
      <w:r w:rsidRPr="00787783">
        <w:rPr>
          <w:rFonts w:ascii="Arial" w:eastAsia="Times New Roman" w:hAnsi="Arial" w:cs="Arial"/>
        </w:rPr>
        <w:t xml:space="preserve">. </w:t>
      </w:r>
      <w:r w:rsidRPr="00787783">
        <w:rPr>
          <w:rFonts w:ascii="Arial" w:hAnsi="Arial" w:cs="Arial"/>
        </w:rPr>
        <w:t xml:space="preserve">The advantages of the existing social protection system include a well-established social registry that can facilitate the rapid expansion of cash transfers to low-income and vulnerable households not currently receiving social assistance </w:t>
      </w:r>
      <w:r w:rsidRPr="00787783">
        <w:rPr>
          <w:rFonts w:ascii="Arial" w:hAnsi="Arial" w:cs="Arial"/>
        </w:rPr>
        <w:lastRenderedPageBreak/>
        <w:t xml:space="preserve">benefits targeted to the poor. The relatively high population coverage of the social registry (accounting for 30 percent of the total population) represents a ready and flexible instrument to quickly expand social support. The universal old age social pension scheme provides extended income support to the elderly, one of the population groups most vulnerable to COVID-19 infection (with higher fatality rates), which could be leveraged to promote social distancing behaviors.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00787783">
        <w:rPr>
          <w:rFonts w:ascii="Arial" w:hAnsi="Arial" w:cs="Arial"/>
        </w:rPr>
        <w:t xml:space="preserve">  </w:t>
      </w:r>
      <w:r w:rsidRPr="00787783">
        <w:rPr>
          <w:rFonts w:ascii="Arial" w:eastAsia="Calibri" w:hAnsi="Arial" w:cs="Arial"/>
          <w:color w:val="000000" w:themeColor="text1"/>
        </w:rPr>
        <w:t>There is no unemployment insurance scheme or assistance program in Georgia. In addition, the labor code only provides one month of severance payment, at a flat rate, equivalent to one month of salary.</w:t>
      </w:r>
      <w:r w:rsidRPr="00787783">
        <w:rPr>
          <w:rFonts w:ascii="Arial" w:eastAsia="Times New Roman" w:hAnsi="Arial" w:cs="Arial"/>
        </w:rPr>
        <w:t xml:space="preserve"> </w:t>
      </w:r>
      <w:r w:rsidRPr="00787783">
        <w:rPr>
          <w:rFonts w:ascii="Arial" w:hAnsi="Arial" w:cs="Arial"/>
        </w:rPr>
        <w:t xml:space="preserve">While home-based work arrangements are provided for public sector workers and their contracts and salaries are maintained, private sector workers under standard and non-standard contracts are currently unprotected if they lose their jobs due to the outbreak. The absence of financial support to this group could cause them to look for any kind of work, thereby undermining the stay-at-home mandate and jeopardizing efforts to contain the spread of the virus. </w:t>
      </w:r>
    </w:p>
    <w:p w:rsidR="00131010" w:rsidRPr="00787783" w:rsidRDefault="00131010" w:rsidP="00131010">
      <w:pPr>
        <w:pStyle w:val="ListParagraph"/>
        <w:numPr>
          <w:ilvl w:val="0"/>
          <w:numId w:val="1"/>
        </w:numPr>
        <w:shd w:val="clear" w:color="auto" w:fill="FFFFFF"/>
        <w:spacing w:before="120" w:after="120" w:line="240" w:lineRule="auto"/>
        <w:ind w:left="0" w:firstLine="0"/>
        <w:contextualSpacing w:val="0"/>
        <w:jc w:val="both"/>
        <w:rPr>
          <w:rFonts w:ascii="Arial" w:eastAsia="Times New Roman" w:hAnsi="Arial" w:cs="Arial"/>
        </w:rPr>
      </w:pPr>
      <w:r w:rsidRPr="00787783">
        <w:rPr>
          <w:rFonts w:ascii="Arial" w:eastAsia="Times New Roman" w:hAnsi="Arial" w:cs="Arial"/>
          <w:b/>
          <w:bCs/>
        </w:rPr>
        <w:t>The government has already taken measures to mitigate the negative impacts stemming from COVID-19 on households and on firms hit particularly hard by the lockdown, such as in the tourism sector</w:t>
      </w:r>
      <w:r w:rsidRPr="00787783">
        <w:rPr>
          <w:rFonts w:ascii="Arial" w:eastAsia="Times New Roman" w:hAnsi="Arial" w:cs="Arial"/>
        </w:rPr>
        <w:t xml:space="preserve">.  Since February 2, 2020 when the first case of the COVID-19 was confirmed, all lab tests and treatment expenses related to COVID-19 have been paid for by the government for all citizens and reimbursed at actual cost (governed by the ministerial corresponding decrees).  On March 13, 2020, the Government announced Economic Support Measures aimed at the mitigation of the negative impacts from COVID-19.  Those measures included: (i) deferral of commercial bank loans repayment for the next three months (April to June 2020); (ii) postponement of the payment of value added tax by three months (March, April, May) for firms in the tourism sector, (iii) suspension of property and income taxes until November 2020; and (iv) provision of subsidized credit to small and medium sized hotels, as well as an increase in credit guarantee scheme, and the acceleration of value-added-tax (VAT) refunds. Based on the </w:t>
      </w:r>
      <w:proofErr w:type="spellStart"/>
      <w:r w:rsidRPr="00787783">
        <w:rPr>
          <w:rFonts w:ascii="Arial" w:eastAsia="Times New Roman" w:hAnsi="Arial" w:cs="Arial"/>
        </w:rPr>
        <w:t>GoG</w:t>
      </w:r>
      <w:proofErr w:type="spellEnd"/>
      <w:r w:rsidRPr="00787783">
        <w:rPr>
          <w:rFonts w:ascii="Arial" w:eastAsia="Times New Roman" w:hAnsi="Arial" w:cs="Arial"/>
        </w:rPr>
        <w:t xml:space="preserve"> Resolution #220 as of April 3, 2020, the Government will subsidize utility fees for three months (March, April, May) for electricity, sanitary service, gas and water bills for households that consume less than 200 kWh of electricity and 200 cubic meters of natural gas per month. The government is considering other measures to support people who lose their jobs because of the outbreak and the lockdown.</w:t>
      </w:r>
      <w:r w:rsidRPr="00787783">
        <w:rPr>
          <w:rFonts w:ascii="Arial" w:eastAsia="Times New Roman" w:hAnsi="Arial" w:cs="Arial"/>
          <w:b/>
          <w:bCs/>
        </w:rPr>
        <w:t> </w:t>
      </w:r>
      <w:r w:rsidRPr="00787783">
        <w:rPr>
          <w:rFonts w:ascii="Arial" w:eastAsia="Times New Roman" w:hAnsi="Arial" w:cs="Arial"/>
        </w:rPr>
        <w:t xml:space="preserve"> On April 24, 2020, the Prime Minister unveiled a set of emergency-response measures including support for people who lost their jobs, temporary cash assistance to poor and vulnerable households, wage subsidies.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eastAsia="Times New Roman" w:hAnsi="Arial" w:cs="Arial"/>
          <w:u w:val="single"/>
        </w:rPr>
      </w:pPr>
      <w:r w:rsidRPr="00787783">
        <w:rPr>
          <w:rFonts w:ascii="Arial" w:eastAsia="Calibri" w:hAnsi="Arial" w:cs="Arial"/>
          <w:b/>
          <w:bCs/>
        </w:rPr>
        <w:t xml:space="preserve">The </w:t>
      </w:r>
      <w:proofErr w:type="spellStart"/>
      <w:r w:rsidRPr="00787783">
        <w:rPr>
          <w:rFonts w:ascii="Arial" w:eastAsia="Calibri" w:hAnsi="Arial" w:cs="Arial"/>
          <w:b/>
          <w:bCs/>
        </w:rPr>
        <w:t>MoIHLSA</w:t>
      </w:r>
      <w:proofErr w:type="spellEnd"/>
      <w:r w:rsidRPr="00787783">
        <w:rPr>
          <w:rFonts w:ascii="Arial" w:eastAsia="Calibri" w:hAnsi="Arial" w:cs="Arial"/>
          <w:b/>
          <w:bCs/>
        </w:rPr>
        <w:t xml:space="preserve"> has been quickly adapting the social assistance delivery mechanisms to make them COVID-19 responsive, although further adaptation and COVID-19 related communication needs to be enhanced.  </w:t>
      </w:r>
      <w:r w:rsidRPr="00787783">
        <w:rPr>
          <w:rFonts w:ascii="Arial" w:eastAsia="Calibri" w:hAnsi="Arial" w:cs="Arial"/>
        </w:rPr>
        <w:t>S</w:t>
      </w:r>
      <w:r w:rsidRPr="00787783">
        <w:rPr>
          <w:rFonts w:ascii="Arial" w:hAnsi="Arial" w:cs="Arial"/>
        </w:rPr>
        <w:t xml:space="preserve">implification of application and registration procedures to facilitate access to the TSA have been introduced. </w:t>
      </w:r>
      <w:r w:rsidRPr="00787783">
        <w:rPr>
          <w:rFonts w:ascii="Arial" w:eastAsia="Calibri" w:hAnsi="Arial" w:cs="Arial"/>
          <w:color w:val="000000" w:themeColor="text1"/>
        </w:rPr>
        <w:t>Recertification procedures for TSA beneficiaries have been postponed allowing beneficiaries to remain in the program; fewer documents are required to apply.</w:t>
      </w:r>
      <w:r w:rsidRPr="00787783">
        <w:rPr>
          <w:rFonts w:ascii="Arial" w:hAnsi="Arial" w:cs="Arial"/>
          <w:color w:val="000000" w:themeColor="text1"/>
        </w:rPr>
        <w:t xml:space="preserve"> Online </w:t>
      </w:r>
      <w:r w:rsidRPr="00787783">
        <w:rPr>
          <w:rFonts w:ascii="Arial" w:hAnsi="Arial" w:cs="Arial"/>
        </w:rPr>
        <w:t>applications are available and home visits have been postponed</w:t>
      </w:r>
      <w:r w:rsidRPr="00787783">
        <w:rPr>
          <w:rStyle w:val="FootnoteReference"/>
          <w:rFonts w:ascii="Arial" w:hAnsi="Arial" w:cs="Arial"/>
        </w:rPr>
        <w:footnoteReference w:id="14"/>
      </w:r>
      <w:r w:rsidRPr="00787783">
        <w:rPr>
          <w:rFonts w:ascii="Arial" w:hAnsi="Arial" w:cs="Arial"/>
        </w:rPr>
        <w:t xml:space="preserve">. Municipal budget for social assistance is oriented to food distribution and in-kind transfers. Further adaptation may be needed to comply with social distancing guidelines e.g. using mobile money instead of cash-in-hand payments, ensuring hygienic conditions, using radio or </w:t>
      </w:r>
      <w:r w:rsidRPr="00787783">
        <w:rPr>
          <w:rFonts w:ascii="Arial" w:hAnsi="Arial" w:cs="Arial"/>
        </w:rPr>
        <w:lastRenderedPageBreak/>
        <w:t>media rather than in-person workshops to convey behavioral change messages, including on handwashing and complying with social distancing requirements.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eastAsia="Times New Roman" w:hAnsi="Arial" w:cs="Arial"/>
          <w:u w:val="single"/>
        </w:rPr>
      </w:pPr>
      <w:r w:rsidRPr="00787783">
        <w:rPr>
          <w:rFonts w:ascii="Arial" w:eastAsia="Times New Roman" w:hAnsi="Arial" w:cs="Arial"/>
          <w:b/>
        </w:rPr>
        <w:t xml:space="preserve">Donors and development partners have been active in supporting Georgia to respond to the COVID-19 emergency. </w:t>
      </w:r>
      <w:r w:rsidRPr="00787783">
        <w:rPr>
          <w:rFonts w:ascii="Arial" w:eastAsia="Times New Roman" w:hAnsi="Arial" w:cs="Arial"/>
        </w:rPr>
        <w:t>The Office of the UN Resident Coordinator Office (RCO) supported the establishment of the ‘health procurement group’ with the participation of UN Agencies, the World Bank (WB), and the Georgian health authorities to ensure harmonization on the commodity lists elaborated by WHO. WHO has been providing technical assistance for the Government with its preparedness and response effort. The health parts of the Country Strategic Preparedness and Response Plan (CSPR) have been finalized, costed and are entered in the COVID-19 online Partners Platform (https://covid-19-response.org/). To address vulnerabilities in healthcare provision in Abkhazia, United Nations Development Program (UNDP) is organizing deliveries of medical commodities to hospitals. The deliveries are funded by United States Agency for International Development (USAID), the European Union (EU) and UNDP and are transported via the UNDP-EU joint coordination mechanism. The RCO also coordinates other activities from UN agencies directed to the mitigation of economic and social consequences.</w:t>
      </w:r>
      <w:r w:rsidRPr="00787783">
        <w:rPr>
          <w:rFonts w:ascii="Arial" w:eastAsia="Times New Roman" w:hAnsi="Arial" w:cs="Arial"/>
          <w:bCs/>
        </w:rPr>
        <w:t xml:space="preserve"> So far, the activities undertaken by UN agencies to mitigate the impacts on livelihoods focus on specific vulnerable groups. The United Nations High Commissioner of Refugees (UNHCR) supports refugee communities as well as the </w:t>
      </w:r>
      <w:proofErr w:type="spellStart"/>
      <w:r w:rsidRPr="00787783">
        <w:rPr>
          <w:rFonts w:ascii="Arial" w:eastAsia="Times New Roman" w:hAnsi="Arial" w:cs="Arial"/>
          <w:bCs/>
        </w:rPr>
        <w:t>Gali</w:t>
      </w:r>
      <w:proofErr w:type="spellEnd"/>
      <w:r w:rsidRPr="00787783">
        <w:rPr>
          <w:rFonts w:ascii="Arial" w:eastAsia="Times New Roman" w:hAnsi="Arial" w:cs="Arial"/>
          <w:bCs/>
        </w:rPr>
        <w:t xml:space="preserve"> population in Abkhazia under the expansion of a cash assistance program. Food support has been provided to Roma families by United Nations Children’s Fund (UNICEF). The EU Delegation to Georgia announced it would support vulnerable populations through its NGO network, redirecting the resources of ongoing projects. They also announced </w:t>
      </w:r>
      <w:r w:rsidRPr="00787783">
        <w:rPr>
          <w:rFonts w:ascii="Arial" w:hAnsi="Arial" w:cs="Arial"/>
        </w:rPr>
        <w:t>working</w:t>
      </w:r>
      <w:r w:rsidRPr="00787783">
        <w:rPr>
          <w:rFonts w:ascii="Arial" w:eastAsia="Times New Roman" w:hAnsi="Arial" w:cs="Arial"/>
          <w:bCs/>
        </w:rPr>
        <w:t xml:space="preserve"> with financial institution partners to redirect funds (and topping up) to increase the liquidity of financing for small-medium enterprises (SMEs).</w:t>
      </w:r>
    </w:p>
    <w:p w:rsidR="00131010" w:rsidRPr="00787783" w:rsidRDefault="00131010" w:rsidP="00131010">
      <w:pPr>
        <w:pStyle w:val="ydpe76c8109msolistparagraph"/>
        <w:numPr>
          <w:ilvl w:val="0"/>
          <w:numId w:val="1"/>
        </w:numPr>
        <w:shd w:val="clear" w:color="auto" w:fill="FFFFFF"/>
        <w:spacing w:before="0" w:beforeAutospacing="0" w:after="0" w:afterAutospacing="0"/>
        <w:ind w:left="0" w:firstLine="0"/>
        <w:jc w:val="both"/>
        <w:rPr>
          <w:rFonts w:ascii="Arial" w:eastAsia="Times New Roman" w:hAnsi="Arial" w:cs="Arial"/>
        </w:rPr>
      </w:pPr>
      <w:r w:rsidRPr="00787783">
        <w:rPr>
          <w:rFonts w:ascii="Arial" w:eastAsia="Times New Roman" w:hAnsi="Arial" w:cs="Arial"/>
          <w:b/>
          <w:bCs/>
          <w:color w:val="000000" w:themeColor="text1"/>
        </w:rPr>
        <w:t xml:space="preserve">There are different international agencies supporting the </w:t>
      </w:r>
      <w:proofErr w:type="spellStart"/>
      <w:r w:rsidRPr="00787783">
        <w:rPr>
          <w:rFonts w:ascii="Arial" w:eastAsia="Times New Roman" w:hAnsi="Arial" w:cs="Arial"/>
          <w:b/>
          <w:bCs/>
          <w:color w:val="000000" w:themeColor="text1"/>
        </w:rPr>
        <w:t>MoILHSA</w:t>
      </w:r>
      <w:proofErr w:type="spellEnd"/>
      <w:r w:rsidRPr="00787783">
        <w:rPr>
          <w:rFonts w:ascii="Arial" w:eastAsia="Times New Roman" w:hAnsi="Arial" w:cs="Arial"/>
          <w:b/>
          <w:bCs/>
          <w:color w:val="000000" w:themeColor="text1"/>
        </w:rPr>
        <w:t xml:space="preserve"> for training health care workers</w:t>
      </w:r>
      <w:r w:rsidRPr="00787783">
        <w:rPr>
          <w:rFonts w:ascii="Arial" w:eastAsia="Times New Roman" w:hAnsi="Arial" w:cs="Arial"/>
          <w:color w:val="000000" w:themeColor="text1"/>
        </w:rPr>
        <w:t xml:space="preserve">. Recently the Global Fund to Fight AIDS, Tuberculosis and Malaria supported the </w:t>
      </w:r>
      <w:proofErr w:type="spellStart"/>
      <w:r w:rsidRPr="00787783">
        <w:rPr>
          <w:rFonts w:ascii="Arial" w:eastAsia="Times New Roman" w:hAnsi="Arial" w:cs="Arial"/>
          <w:color w:val="000000" w:themeColor="text1"/>
        </w:rPr>
        <w:t>MoILHSA</w:t>
      </w:r>
      <w:proofErr w:type="spellEnd"/>
      <w:r w:rsidRPr="00787783">
        <w:rPr>
          <w:rFonts w:ascii="Arial" w:eastAsia="Times New Roman" w:hAnsi="Arial" w:cs="Arial"/>
          <w:color w:val="000000" w:themeColor="text1"/>
        </w:rPr>
        <w:t xml:space="preserve"> in training of the primary health care workers throughout the country. The Government of </w:t>
      </w:r>
      <w:proofErr w:type="spellStart"/>
      <w:r w:rsidRPr="00787783">
        <w:rPr>
          <w:rFonts w:ascii="Arial" w:eastAsia="Times New Roman" w:hAnsi="Arial" w:cs="Arial"/>
          <w:color w:val="000000" w:themeColor="text1"/>
        </w:rPr>
        <w:t>Czechia</w:t>
      </w:r>
      <w:proofErr w:type="spellEnd"/>
      <w:r w:rsidRPr="00787783">
        <w:rPr>
          <w:rFonts w:ascii="Arial" w:eastAsia="Times New Roman" w:hAnsi="Arial" w:cs="Arial"/>
          <w:color w:val="000000" w:themeColor="text1"/>
        </w:rPr>
        <w:t xml:space="preserve"> also provided support through Caritas for training of primary health care workers as well. Open Society Georgian Foundation has been providing trainings on infectious prevention and critical care—predominantly in so-called fever clinics. The United States Agency for International Development and the Centers for Disease Control and Prevention are also involved in the training of hospital personnel. Trainings are prioritized as follows – firstly, the training will be provided for 44 clinics (29 stand-by and 15 fever clinics), second stage – 100 largest hospitals, and third stage – all clinics. </w:t>
      </w:r>
      <w:r w:rsidRPr="00787783">
        <w:rPr>
          <w:rFonts w:ascii="Arial" w:eastAsia="Times New Roman" w:hAnsi="Arial" w:cs="Arial"/>
        </w:rPr>
        <w:t xml:space="preserve"> </w:t>
      </w:r>
    </w:p>
    <w:p w:rsidR="00B60E57" w:rsidRPr="00787783" w:rsidRDefault="00B60E57">
      <w:pPr>
        <w:rPr>
          <w:rFonts w:ascii="Arial" w:hAnsi="Arial" w:cs="Arial"/>
        </w:rPr>
      </w:pPr>
    </w:p>
    <w:p w:rsidR="00343BED" w:rsidRPr="00787783" w:rsidRDefault="00343BED">
      <w:pPr>
        <w:rPr>
          <w:rFonts w:ascii="Arial" w:hAnsi="Arial" w:cs="Arial"/>
        </w:rPr>
      </w:pPr>
      <w:r w:rsidRPr="00787783">
        <w:rPr>
          <w:rFonts w:ascii="Arial" w:hAnsi="Arial" w:cs="Arial"/>
        </w:rPr>
        <w:t>Health Care Infrastructure and Resources</w:t>
      </w:r>
    </w:p>
    <w:tbl>
      <w:tblPr>
        <w:tblStyle w:val="LightGrid-Accent1"/>
        <w:tblW w:w="4201" w:type="pct"/>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54" w:type="dxa"/>
          <w:right w:w="54" w:type="dxa"/>
        </w:tblCellMar>
        <w:tblLook w:val="04A0" w:firstRow="1" w:lastRow="0" w:firstColumn="1" w:lastColumn="0" w:noHBand="0" w:noVBand="1"/>
      </w:tblPr>
      <w:tblGrid>
        <w:gridCol w:w="278"/>
        <w:gridCol w:w="2662"/>
        <w:gridCol w:w="1227"/>
        <w:gridCol w:w="1227"/>
        <w:gridCol w:w="1478"/>
        <w:gridCol w:w="984"/>
      </w:tblGrid>
      <w:tr w:rsidR="00343BED" w:rsidRPr="00787783" w:rsidTr="00343B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lang w:val="ka-GE"/>
              </w:rPr>
            </w:pPr>
          </w:p>
        </w:tc>
        <w:tc>
          <w:tcPr>
            <w:tcW w:w="785"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Total Georgia</w:t>
            </w:r>
          </w:p>
        </w:tc>
        <w:tc>
          <w:tcPr>
            <w:tcW w:w="785"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Designated COVID 19 beds </w:t>
            </w:r>
          </w:p>
        </w:tc>
        <w:tc>
          <w:tcPr>
            <w:tcW w:w="944"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Designated Fever Beds for initial assessment and triage </w:t>
            </w:r>
          </w:p>
        </w:tc>
        <w:tc>
          <w:tcPr>
            <w:tcW w:w="607"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rPr>
              <w:t>COVID19+</w:t>
            </w:r>
          </w:p>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Fever</w:t>
            </w:r>
          </w:p>
        </w:tc>
      </w:tr>
      <w:tr w:rsidR="00343BED" w:rsidRPr="00787783" w:rsidTr="00343B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787783">
              <w:rPr>
                <w:rFonts w:ascii="Arial" w:hAnsi="Arial" w:cs="Arial"/>
                <w:sz w:val="18"/>
                <w:szCs w:val="20"/>
              </w:rPr>
              <w:t>Critical care beds per</w:t>
            </w:r>
            <w:r w:rsidRPr="00787783">
              <w:rPr>
                <w:rFonts w:ascii="Arial" w:hAnsi="Arial" w:cs="Arial"/>
                <w:sz w:val="18"/>
                <w:szCs w:val="20"/>
                <w:lang w:val="ka-GE"/>
              </w:rPr>
              <w:t xml:space="preserve"> 10</w:t>
            </w:r>
            <w:r w:rsidRPr="00787783">
              <w:rPr>
                <w:rFonts w:ascii="Arial" w:hAnsi="Arial" w:cs="Arial"/>
                <w:sz w:val="18"/>
                <w:szCs w:val="20"/>
              </w:rPr>
              <w:t>,</w:t>
            </w:r>
            <w:r w:rsidRPr="00787783">
              <w:rPr>
                <w:rFonts w:ascii="Arial" w:hAnsi="Arial" w:cs="Arial"/>
                <w:sz w:val="18"/>
                <w:szCs w:val="20"/>
                <w:lang w:val="ka-GE"/>
              </w:rPr>
              <w:t xml:space="preserve">000 adult population </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7.7</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3.2</w:t>
            </w:r>
          </w:p>
        </w:tc>
        <w:tc>
          <w:tcPr>
            <w:tcW w:w="944"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1.2</w:t>
            </w:r>
          </w:p>
        </w:tc>
        <w:tc>
          <w:tcPr>
            <w:tcW w:w="607"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4.3</w:t>
            </w:r>
          </w:p>
        </w:tc>
      </w:tr>
      <w:tr w:rsidR="00343BED" w:rsidRPr="00787783" w:rsidTr="00343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010000" w:firstRow="0" w:lastRow="0" w:firstColumn="0" w:lastColumn="0" w:oddVBand="0" w:evenVBand="0" w:oddHBand="0" w:evenHBand="1" w:firstRowFirstColumn="0" w:firstRowLastColumn="0" w:lastRowFirstColumn="0" w:lastRowLastColumn="0"/>
              <w:rPr>
                <w:rFonts w:ascii="Arial" w:hAnsi="Arial" w:cs="Arial"/>
                <w:sz w:val="18"/>
                <w:szCs w:val="20"/>
              </w:rPr>
            </w:pPr>
            <w:r w:rsidRPr="00787783">
              <w:rPr>
                <w:rFonts w:ascii="Arial" w:hAnsi="Arial" w:cs="Arial"/>
                <w:sz w:val="18"/>
                <w:szCs w:val="20"/>
              </w:rPr>
              <w:t xml:space="preserve">Total beds per 10000 adult population </w:t>
            </w:r>
          </w:p>
        </w:tc>
        <w:tc>
          <w:tcPr>
            <w:tcW w:w="785"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58.8</w:t>
            </w:r>
          </w:p>
        </w:tc>
        <w:tc>
          <w:tcPr>
            <w:tcW w:w="785"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12.3</w:t>
            </w:r>
          </w:p>
        </w:tc>
        <w:tc>
          <w:tcPr>
            <w:tcW w:w="944"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5.4</w:t>
            </w:r>
          </w:p>
        </w:tc>
        <w:tc>
          <w:tcPr>
            <w:tcW w:w="607"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17.8</w:t>
            </w:r>
          </w:p>
        </w:tc>
      </w:tr>
      <w:tr w:rsidR="00343BED" w:rsidRPr="00787783" w:rsidTr="00343B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Ventilators per 10000 adult population </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8.1</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1.7</w:t>
            </w:r>
          </w:p>
        </w:tc>
        <w:tc>
          <w:tcPr>
            <w:tcW w:w="944"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0.5</w:t>
            </w:r>
          </w:p>
        </w:tc>
        <w:tc>
          <w:tcPr>
            <w:tcW w:w="607"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2.2</w:t>
            </w:r>
          </w:p>
        </w:tc>
      </w:tr>
    </w:tbl>
    <w:p w:rsidR="001111BC" w:rsidRPr="00787783" w:rsidRDefault="001111BC">
      <w:pPr>
        <w:rPr>
          <w:rFonts w:ascii="Arial" w:hAnsi="Arial" w:cs="Arial"/>
        </w:rPr>
      </w:pPr>
    </w:p>
    <w:p w:rsidR="00343BED" w:rsidRPr="00787783" w:rsidRDefault="00343BED">
      <w:pPr>
        <w:rPr>
          <w:rFonts w:ascii="Arial" w:hAnsi="Arial" w:cs="Arial"/>
        </w:rPr>
      </w:pPr>
    </w:p>
    <w:tbl>
      <w:tblPr>
        <w:tblStyle w:val="TableGrid"/>
        <w:tblW w:w="0" w:type="auto"/>
        <w:tblLook w:val="04A0" w:firstRow="1" w:lastRow="0" w:firstColumn="1" w:lastColumn="0" w:noHBand="0" w:noVBand="1"/>
      </w:tblPr>
      <w:tblGrid>
        <w:gridCol w:w="2337"/>
        <w:gridCol w:w="1769"/>
        <w:gridCol w:w="1985"/>
        <w:gridCol w:w="1842"/>
      </w:tblGrid>
      <w:tr w:rsidR="00343BED" w:rsidRPr="00787783" w:rsidTr="00343BED">
        <w:tc>
          <w:tcPr>
            <w:tcW w:w="2337" w:type="dxa"/>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lastRenderedPageBreak/>
              <w:t xml:space="preserve">Designated FEVER/COVID19 Hospitals </w:t>
            </w:r>
          </w:p>
        </w:tc>
        <w:tc>
          <w:tcPr>
            <w:tcW w:w="1769"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Total Beds</w:t>
            </w:r>
          </w:p>
        </w:tc>
        <w:tc>
          <w:tcPr>
            <w:tcW w:w="1985"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ICU beds</w:t>
            </w:r>
          </w:p>
        </w:tc>
        <w:tc>
          <w:tcPr>
            <w:tcW w:w="1842"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Ventilators</w:t>
            </w:r>
          </w:p>
        </w:tc>
      </w:tr>
      <w:tr w:rsidR="00343BED" w:rsidRPr="00787783" w:rsidTr="00343BED">
        <w:tc>
          <w:tcPr>
            <w:tcW w:w="2337" w:type="dxa"/>
          </w:tcPr>
          <w:p w:rsidR="00343BED" w:rsidRPr="00787783" w:rsidRDefault="00343BED">
            <w:pPr>
              <w:rPr>
                <w:rFonts w:ascii="Arial" w:hAnsi="Arial" w:cs="Arial"/>
                <w:sz w:val="18"/>
              </w:rPr>
            </w:pPr>
            <w:r w:rsidRPr="00787783">
              <w:rPr>
                <w:rFonts w:ascii="Arial" w:hAnsi="Arial" w:cs="Arial"/>
                <w:sz w:val="18"/>
              </w:rPr>
              <w:t>Fever Clinics</w:t>
            </w:r>
          </w:p>
        </w:tc>
        <w:tc>
          <w:tcPr>
            <w:tcW w:w="1769" w:type="dxa"/>
          </w:tcPr>
          <w:p w:rsidR="00343BED" w:rsidRPr="00787783" w:rsidRDefault="00343BED" w:rsidP="00343BED">
            <w:pPr>
              <w:jc w:val="center"/>
              <w:rPr>
                <w:rFonts w:ascii="Arial" w:hAnsi="Arial" w:cs="Arial"/>
                <w:sz w:val="18"/>
              </w:rPr>
            </w:pPr>
            <w:r w:rsidRPr="00787783">
              <w:rPr>
                <w:rFonts w:ascii="Arial" w:hAnsi="Arial" w:cs="Arial"/>
                <w:sz w:val="18"/>
              </w:rPr>
              <w:t>1050</w:t>
            </w:r>
          </w:p>
        </w:tc>
        <w:tc>
          <w:tcPr>
            <w:tcW w:w="1985" w:type="dxa"/>
          </w:tcPr>
          <w:p w:rsidR="00343BED" w:rsidRPr="00787783" w:rsidRDefault="00343BED" w:rsidP="00343BED">
            <w:pPr>
              <w:jc w:val="center"/>
              <w:rPr>
                <w:rFonts w:ascii="Arial" w:hAnsi="Arial" w:cs="Arial"/>
                <w:sz w:val="18"/>
              </w:rPr>
            </w:pPr>
            <w:r w:rsidRPr="00787783">
              <w:rPr>
                <w:rFonts w:ascii="Arial" w:hAnsi="Arial" w:cs="Arial"/>
                <w:sz w:val="18"/>
              </w:rPr>
              <w:t>162</w:t>
            </w:r>
          </w:p>
        </w:tc>
        <w:tc>
          <w:tcPr>
            <w:tcW w:w="1842" w:type="dxa"/>
          </w:tcPr>
          <w:p w:rsidR="00343BED" w:rsidRPr="00787783" w:rsidRDefault="00343BED" w:rsidP="00343BED">
            <w:pPr>
              <w:jc w:val="center"/>
              <w:rPr>
                <w:rFonts w:ascii="Arial" w:hAnsi="Arial" w:cs="Arial"/>
                <w:sz w:val="18"/>
              </w:rPr>
            </w:pPr>
            <w:r w:rsidRPr="00787783">
              <w:rPr>
                <w:rFonts w:ascii="Arial" w:hAnsi="Arial" w:cs="Arial"/>
                <w:sz w:val="18"/>
              </w:rPr>
              <w:t>61</w:t>
            </w:r>
          </w:p>
        </w:tc>
      </w:tr>
      <w:tr w:rsidR="00343BED" w:rsidRPr="00787783" w:rsidTr="00343BED">
        <w:tc>
          <w:tcPr>
            <w:tcW w:w="2337" w:type="dxa"/>
          </w:tcPr>
          <w:p w:rsidR="00343BED" w:rsidRPr="00787783" w:rsidRDefault="00343BED" w:rsidP="00343BED">
            <w:pPr>
              <w:rPr>
                <w:rFonts w:ascii="Arial" w:hAnsi="Arial" w:cs="Arial"/>
                <w:sz w:val="18"/>
              </w:rPr>
            </w:pPr>
            <w:r w:rsidRPr="00787783">
              <w:rPr>
                <w:rFonts w:ascii="Arial" w:hAnsi="Arial" w:cs="Arial"/>
                <w:sz w:val="18"/>
              </w:rPr>
              <w:t>COVID19 managing hospitals</w:t>
            </w:r>
          </w:p>
        </w:tc>
        <w:tc>
          <w:tcPr>
            <w:tcW w:w="1769" w:type="dxa"/>
            <w:tcBorders>
              <w:top w:val="single" w:sz="4" w:space="0" w:color="auto"/>
              <w:left w:val="nil"/>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3279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878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525</w:t>
            </w:r>
          </w:p>
        </w:tc>
      </w:tr>
    </w:tbl>
    <w:p w:rsidR="00343BED" w:rsidRPr="00787783" w:rsidRDefault="00343BED">
      <w:pPr>
        <w:rPr>
          <w:rFonts w:ascii="Arial" w:hAnsi="Arial" w:cs="Arial"/>
        </w:rPr>
      </w:pPr>
    </w:p>
    <w:p w:rsidR="00787783" w:rsidRPr="00787783" w:rsidRDefault="00B24D9A">
      <w:pPr>
        <w:rPr>
          <w:rFonts w:ascii="Arial" w:hAnsi="Arial" w:cs="Arial"/>
        </w:rPr>
      </w:pPr>
      <w:r>
        <w:rPr>
          <w:rFonts w:ascii="Arial" w:hAnsi="Arial" w:cs="Arial"/>
        </w:rPr>
        <w:t>6639</w:t>
      </w:r>
      <w:r w:rsidR="00787783" w:rsidRPr="00787783">
        <w:rPr>
          <w:rFonts w:ascii="Arial" w:hAnsi="Arial" w:cs="Arial"/>
        </w:rPr>
        <w:t xml:space="preserve"> </w:t>
      </w:r>
      <w:r>
        <w:rPr>
          <w:rFonts w:ascii="Arial" w:hAnsi="Arial" w:cs="Arial"/>
        </w:rPr>
        <w:t xml:space="preserve">hotel beds </w:t>
      </w:r>
      <w:r w:rsidR="00787783" w:rsidRPr="00787783">
        <w:rPr>
          <w:rFonts w:ascii="Arial" w:hAnsi="Arial" w:cs="Arial"/>
        </w:rPr>
        <w:t xml:space="preserve">are mobilized in selected </w:t>
      </w:r>
      <w:r>
        <w:rPr>
          <w:rFonts w:ascii="Arial" w:hAnsi="Arial" w:cs="Arial"/>
        </w:rPr>
        <w:t>quarantine places</w:t>
      </w:r>
      <w:r w:rsidR="00787783" w:rsidRPr="00787783">
        <w:rPr>
          <w:rFonts w:ascii="Arial" w:hAnsi="Arial" w:cs="Arial"/>
        </w:rPr>
        <w:t xml:space="preserve">. </w:t>
      </w:r>
    </w:p>
    <w:p w:rsidR="00787783" w:rsidRDefault="00787783">
      <w:pPr>
        <w:rPr>
          <w:rFonts w:ascii="Arial" w:hAnsi="Arial" w:cs="Arial"/>
        </w:rPr>
      </w:pPr>
      <w:r w:rsidRPr="00787783">
        <w:rPr>
          <w:rFonts w:ascii="Arial" w:hAnsi="Arial" w:cs="Arial"/>
        </w:rPr>
        <w:t>As of April 26</w:t>
      </w:r>
      <w:r w:rsidRPr="00787783">
        <w:rPr>
          <w:rFonts w:ascii="Arial" w:hAnsi="Arial" w:cs="Arial"/>
          <w:vertAlign w:val="superscript"/>
        </w:rPr>
        <w:t>th</w:t>
      </w:r>
      <w:r w:rsidRPr="00787783">
        <w:rPr>
          <w:rFonts w:ascii="Arial" w:hAnsi="Arial" w:cs="Arial"/>
        </w:rPr>
        <w:t xml:space="preserve"> 4928 individuals are in quarantine facilities and 522 stay in hospital for COVID/FEVER related reasons. </w:t>
      </w:r>
    </w:p>
    <w:p w:rsidR="000A3695" w:rsidRDefault="000A3695">
      <w:pPr>
        <w:rPr>
          <w:rFonts w:ascii="Arial" w:hAnsi="Arial" w:cs="Arial"/>
        </w:rPr>
      </w:pPr>
    </w:p>
    <w:p w:rsidR="000A3695" w:rsidRPr="000A3695" w:rsidRDefault="000A3695">
      <w:pPr>
        <w:rPr>
          <w:rFonts w:ascii="Arial" w:hAnsi="Arial" w:cs="Arial"/>
          <w:b/>
        </w:rPr>
      </w:pPr>
      <w:r w:rsidRPr="000A3695">
        <w:rPr>
          <w:rFonts w:ascii="Arial" w:hAnsi="Arial" w:cs="Arial"/>
          <w:b/>
        </w:rPr>
        <w:t xml:space="preserve">Most urgent needs for COVID 19 response </w:t>
      </w:r>
      <w:r>
        <w:rPr>
          <w:rFonts w:ascii="Arial" w:hAnsi="Arial" w:cs="Arial"/>
          <w:b/>
        </w:rPr>
        <w:t xml:space="preserve">not covered or partially covered by other donors </w:t>
      </w:r>
      <w:r w:rsidRPr="000A3695">
        <w:rPr>
          <w:rFonts w:ascii="Arial" w:hAnsi="Arial" w:cs="Arial"/>
          <w:b/>
        </w:rPr>
        <w:t>(See also attached Excel file)</w:t>
      </w:r>
    </w:p>
    <w:p w:rsidR="000A3695" w:rsidRDefault="000A3695">
      <w:pPr>
        <w:rPr>
          <w:rFonts w:ascii="Arial" w:hAnsi="Arial" w:cs="Arial"/>
        </w:rPr>
      </w:pPr>
      <w:r>
        <w:rPr>
          <w:rFonts w:ascii="Arial" w:hAnsi="Arial" w:cs="Arial"/>
        </w:rPr>
        <w:t xml:space="preserve">-Procuring building for Infectious Disease Hospital </w:t>
      </w:r>
    </w:p>
    <w:p w:rsidR="000A3695" w:rsidRDefault="000A3695">
      <w:pPr>
        <w:rPr>
          <w:rFonts w:ascii="Arial" w:hAnsi="Arial" w:cs="Arial"/>
        </w:rPr>
      </w:pPr>
      <w:r>
        <w:rPr>
          <w:rFonts w:ascii="Arial" w:hAnsi="Arial" w:cs="Arial"/>
        </w:rPr>
        <w:t xml:space="preserve">-Minor adjustment of the new building to meet infection control requirement </w:t>
      </w:r>
    </w:p>
    <w:p w:rsidR="000A3695" w:rsidRDefault="000A3695">
      <w:pPr>
        <w:rPr>
          <w:rFonts w:ascii="Arial" w:hAnsi="Arial" w:cs="Arial"/>
        </w:rPr>
      </w:pPr>
      <w:r>
        <w:rPr>
          <w:rFonts w:ascii="Arial" w:hAnsi="Arial" w:cs="Arial"/>
        </w:rPr>
        <w:t xml:space="preserve">-Full equipment of the building </w:t>
      </w:r>
    </w:p>
    <w:p w:rsidR="000A3695" w:rsidRDefault="000A3695">
      <w:pPr>
        <w:rPr>
          <w:rFonts w:ascii="Arial" w:hAnsi="Arial" w:cs="Arial"/>
        </w:rPr>
      </w:pPr>
      <w:r>
        <w:rPr>
          <w:rFonts w:ascii="Arial" w:hAnsi="Arial" w:cs="Arial"/>
        </w:rPr>
        <w:t xml:space="preserve">-Providing needed equipment for ambulance services </w:t>
      </w:r>
    </w:p>
    <w:p w:rsidR="000A3695" w:rsidRDefault="000A3695">
      <w:pPr>
        <w:rPr>
          <w:rFonts w:ascii="Arial" w:hAnsi="Arial" w:cs="Arial"/>
        </w:rPr>
      </w:pPr>
      <w:r>
        <w:rPr>
          <w:rFonts w:ascii="Arial" w:hAnsi="Arial" w:cs="Arial"/>
        </w:rPr>
        <w:t xml:space="preserve">-Strengthening capacity for automated PCR testing (ROCHE </w:t>
      </w:r>
      <w:proofErr w:type="spellStart"/>
      <w:r>
        <w:rPr>
          <w:rFonts w:ascii="Arial" w:hAnsi="Arial" w:cs="Arial"/>
        </w:rPr>
        <w:t>Cobas</w:t>
      </w:r>
      <w:proofErr w:type="spellEnd"/>
      <w:r>
        <w:rPr>
          <w:rFonts w:ascii="Arial" w:hAnsi="Arial" w:cs="Arial"/>
        </w:rPr>
        <w:t xml:space="preserve"> 6800 and antibody testing machine for national level laboratories)</w:t>
      </w:r>
    </w:p>
    <w:p w:rsidR="000A3695" w:rsidRDefault="000A3695">
      <w:pPr>
        <w:rPr>
          <w:rFonts w:ascii="Arial" w:hAnsi="Arial" w:cs="Arial"/>
        </w:rPr>
      </w:pPr>
      <w:r>
        <w:rPr>
          <w:rFonts w:ascii="Arial" w:hAnsi="Arial" w:cs="Arial"/>
        </w:rPr>
        <w:t>-Investment in primary care infrastructure and telemedicine</w:t>
      </w:r>
    </w:p>
    <w:p w:rsidR="000A3695" w:rsidRPr="00787783" w:rsidRDefault="000A3695">
      <w:pPr>
        <w:rPr>
          <w:rFonts w:ascii="Arial" w:hAnsi="Arial" w:cs="Arial"/>
        </w:rPr>
      </w:pPr>
    </w:p>
    <w:sectPr w:rsidR="000A3695" w:rsidRPr="00787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4A" w:rsidRDefault="00DC124A" w:rsidP="00131010">
      <w:pPr>
        <w:spacing w:after="0" w:line="240" w:lineRule="auto"/>
      </w:pPr>
      <w:r>
        <w:separator/>
      </w:r>
    </w:p>
  </w:endnote>
  <w:endnote w:type="continuationSeparator" w:id="0">
    <w:p w:rsidR="00DC124A" w:rsidRDefault="00DC124A" w:rsidP="001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4A" w:rsidRDefault="00DC124A" w:rsidP="00131010">
      <w:pPr>
        <w:spacing w:after="0" w:line="240" w:lineRule="auto"/>
      </w:pPr>
      <w:r>
        <w:separator/>
      </w:r>
    </w:p>
  </w:footnote>
  <w:footnote w:type="continuationSeparator" w:id="0">
    <w:p w:rsidR="00DC124A" w:rsidRDefault="00DC124A" w:rsidP="00131010">
      <w:pPr>
        <w:spacing w:after="0" w:line="240" w:lineRule="auto"/>
      </w:pPr>
      <w:r>
        <w:continuationSeparator/>
      </w:r>
    </w:p>
  </w:footnote>
  <w:footnote w:id="1">
    <w:p w:rsidR="00131010" w:rsidRPr="00563569"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rsidR="00131010" w:rsidRPr="00CF0476" w:rsidRDefault="00131010" w:rsidP="00131010">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proofErr w:type="spellStart"/>
      <w:r w:rsidRPr="00EE4DD8">
        <w:rPr>
          <w:rFonts w:ascii="Calibri" w:hAnsi="Calibri" w:cs="Calibri"/>
          <w:szCs w:val="18"/>
        </w:rPr>
        <w:t>Poti</w:t>
      </w:r>
      <w:proofErr w:type="spellEnd"/>
      <w:r w:rsidRPr="00EE4DD8">
        <w:rPr>
          <w:rFonts w:ascii="Calibri" w:hAnsi="Calibri" w:cs="Calibri"/>
          <w:szCs w:val="18"/>
        </w:rPr>
        <w:t>, Zugdidi and Gori cities of the country to screen people and carry out better control of the situation.</w:t>
      </w:r>
    </w:p>
  </w:footnote>
  <w:footnote w:id="3">
    <w:p w:rsidR="00131010" w:rsidRPr="00735C72"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percent of remittances received during a quarter of the year.</w:t>
      </w:r>
    </w:p>
  </w:footnote>
  <w:footnote w:id="4">
    <w:p w:rsidR="00131010" w:rsidRPr="00BB5DE3" w:rsidRDefault="00131010" w:rsidP="00131010">
      <w:pPr>
        <w:pStyle w:val="FootnoteText"/>
        <w:spacing w:after="0"/>
      </w:pPr>
      <w:r>
        <w:rPr>
          <w:rStyle w:val="FootnoteReference"/>
        </w:rPr>
        <w:footnoteRef/>
      </w:r>
      <w:r w:rsidRPr="00BB5DE3">
        <w:t xml:space="preserve"> </w:t>
      </w:r>
      <w:r w:rsidRPr="00552031">
        <w:t>Wo</w:t>
      </w:r>
      <w:r>
        <w:t xml:space="preserve">rld Bank own calculations, simulating PMT score and eligibility to TSA on HIES 2018 data. We make the following (conservative) assumptions on the economic shock: 20% of wage workers lose their job, and the remaining workers experience a 20% decrease </w:t>
      </w:r>
      <w:proofErr w:type="gramStart"/>
      <w:r>
        <w:t>in  income</w:t>
      </w:r>
      <w:proofErr w:type="gramEnd"/>
      <w:r>
        <w:t>. We assume 80% take-up (similar to currently observed take-up).</w:t>
      </w:r>
    </w:p>
  </w:footnote>
  <w:footnote w:id="5">
    <w:p w:rsidR="00131010" w:rsidRPr="006D16AC" w:rsidRDefault="00131010" w:rsidP="00131010">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r>
        <w:fldChar w:fldCharType="begin"/>
      </w:r>
      <w:r>
        <w:instrText xml:space="preserve"> HYPERLINK "https://www.geostat.ge/en/modules/categories/320/deaths" </w:instrText>
      </w:r>
      <w:r>
        <w:fldChar w:fldCharType="separate"/>
      </w:r>
      <w:r w:rsidRPr="006D16AC">
        <w:rPr>
          <w:rStyle w:val="Hyperlink"/>
          <w:rFonts w:cstheme="minorHAnsi"/>
          <w:i/>
          <w:color w:val="auto"/>
          <w:szCs w:val="18"/>
          <w:lang w:val="it-IT"/>
        </w:rPr>
        <w:t>https://www.geostat.ge/en/modules/categories/320/deaths</w:t>
      </w:r>
      <w:r>
        <w:rPr>
          <w:rStyle w:val="Hyperlink"/>
          <w:rFonts w:cstheme="minorHAnsi"/>
          <w:i/>
          <w:color w:val="auto"/>
          <w:szCs w:val="18"/>
          <w:lang w:val="it-IT"/>
        </w:rPr>
        <w:fldChar w:fldCharType="end"/>
      </w:r>
      <w:r w:rsidRPr="006D16AC">
        <w:rPr>
          <w:rFonts w:cstheme="minorHAnsi"/>
          <w:color w:val="auto"/>
          <w:szCs w:val="18"/>
          <w:lang w:val="it-IT"/>
        </w:rPr>
        <w:t xml:space="preserve"> </w:t>
      </w:r>
    </w:p>
  </w:footnote>
  <w:footnote w:id="6">
    <w:p w:rsidR="00131010" w:rsidRPr="008C0CE3" w:rsidRDefault="00131010" w:rsidP="00131010">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r>
        <w:fldChar w:fldCharType="begin"/>
      </w:r>
      <w:r>
        <w:instrText xml:space="preserve"> HYPERLINK "https://www.geostat.ge/en/modules/categories/41/population" </w:instrText>
      </w:r>
      <w:r>
        <w:fldChar w:fldCharType="separate"/>
      </w:r>
      <w:r w:rsidRPr="006D16AC">
        <w:rPr>
          <w:rStyle w:val="Hyperlink"/>
          <w:rFonts w:cstheme="minorHAnsi"/>
          <w:i/>
          <w:color w:val="auto"/>
          <w:szCs w:val="18"/>
          <w:lang w:val="it-IT"/>
        </w:rPr>
        <w:t>https://www.geostat.ge/en/modules/categories/41/population</w:t>
      </w:r>
      <w:r>
        <w:rPr>
          <w:rStyle w:val="Hyperlink"/>
          <w:rFonts w:cstheme="minorHAnsi"/>
          <w:i/>
          <w:color w:val="auto"/>
          <w:szCs w:val="18"/>
          <w:lang w:val="it-IT"/>
        </w:rPr>
        <w:fldChar w:fldCharType="end"/>
      </w:r>
    </w:p>
  </w:footnote>
  <w:footnote w:id="7">
    <w:p w:rsidR="00131010" w:rsidRPr="005D3BA3" w:rsidRDefault="00131010" w:rsidP="00131010">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8">
    <w:p w:rsidR="00131010" w:rsidRPr="005D3BA3" w:rsidRDefault="00131010" w:rsidP="00131010">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proofErr w:type="spellStart"/>
      <w:r w:rsidRPr="005D3BA3">
        <w:rPr>
          <w:rFonts w:cstheme="minorHAnsi"/>
          <w:color w:val="222222"/>
          <w:szCs w:val="18"/>
          <w:shd w:val="clear" w:color="auto" w:fill="FFFFFF"/>
        </w:rPr>
        <w:t>Correia</w:t>
      </w:r>
      <w:proofErr w:type="spellEnd"/>
      <w:r w:rsidRPr="005D3BA3">
        <w:rPr>
          <w:rFonts w:cstheme="minorHAnsi"/>
          <w:color w:val="222222"/>
          <w:szCs w:val="18"/>
          <w:shd w:val="clear" w:color="auto" w:fill="FFFFFF"/>
        </w:rPr>
        <w:t>, S., Luck, S., &amp; Verner, E. (1918). Pandemics Depress the Economy, Public Health Interventions Do Not: Evidence from the 1918 Flu. </w:t>
      </w:r>
    </w:p>
  </w:footnote>
  <w:footnote w:id="9">
    <w:p w:rsidR="00131010" w:rsidRDefault="00131010" w:rsidP="00131010">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2" w:history="1">
        <w:r w:rsidRPr="005D3BA3">
          <w:rPr>
            <w:rStyle w:val="Hyperlink"/>
            <w:rFonts w:cstheme="minorHAnsi"/>
            <w:szCs w:val="18"/>
          </w:rPr>
          <w:t>https://www.imperial.ac.uk/media/imperial-college/medicine/sph/ide/gida-fellowships/Imperial-College-COVID19-NPI-modelling-16-03-2020.pdf</w:t>
        </w:r>
      </w:hyperlink>
    </w:p>
  </w:footnote>
  <w:footnote w:id="10">
    <w:p w:rsidR="00131010" w:rsidRPr="00554649" w:rsidRDefault="00131010" w:rsidP="00131010">
      <w:pPr>
        <w:pStyle w:val="EndNoteBibliography"/>
        <w:rPr>
          <w:rFonts w:asciiTheme="minorHAnsi" w:hAnsiTheme="minorHAnsi" w:cstheme="minorHAnsi"/>
        </w:rPr>
      </w:pPr>
      <w:r w:rsidRPr="0035031E">
        <w:rPr>
          <w:rStyle w:val="FootnoteReference"/>
          <w:rFonts w:asciiTheme="minorHAnsi" w:hAnsiTheme="minorHAnsi" w:cstheme="minorHAnsi"/>
          <w:sz w:val="18"/>
          <w:szCs w:val="18"/>
        </w:rPr>
        <w:footnoteRef/>
      </w:r>
      <w:r w:rsidRPr="0035031E">
        <w:rPr>
          <w:rFonts w:asciiTheme="minorHAnsi" w:hAnsiTheme="minorHAnsi" w:cstheme="minorHAnsi"/>
          <w:sz w:val="18"/>
          <w:szCs w:val="18"/>
        </w:rPr>
        <w:t xml:space="preserve"> UN Women. Transforming Economies, Realizing Rights: Progress of the World's Women 2015-2016: UN Women; 2015.</w:t>
      </w:r>
    </w:p>
  </w:footnote>
  <w:footnote w:id="11">
    <w:p w:rsidR="00131010" w:rsidRPr="008B02AE" w:rsidRDefault="00131010" w:rsidP="00131010">
      <w:pPr>
        <w:pStyle w:val="FootnoteText"/>
        <w:spacing w:after="0" w:line="240" w:lineRule="auto"/>
        <w:contextualSpacing/>
        <w:jc w:val="both"/>
        <w:rPr>
          <w:rFonts w:cstheme="minorHAnsi"/>
          <w:szCs w:val="18"/>
        </w:rPr>
      </w:pPr>
      <w:r w:rsidRPr="008B02AE">
        <w:rPr>
          <w:rStyle w:val="FootnoteReference"/>
          <w:rFonts w:cstheme="minorHAnsi"/>
          <w:szCs w:val="18"/>
        </w:rPr>
        <w:footnoteRef/>
      </w:r>
      <w:r w:rsidRPr="008B02AE">
        <w:rPr>
          <w:rFonts w:cstheme="minorHAnsi"/>
          <w:szCs w:val="18"/>
        </w:rPr>
        <w:t xml:space="preserve"> </w:t>
      </w:r>
      <w:hyperlink r:id="rId3" w:history="1">
        <w:r w:rsidRPr="0035031E">
          <w:rPr>
            <w:rStyle w:val="Hyperlink"/>
            <w:rFonts w:cstheme="minorHAnsi"/>
            <w:szCs w:val="18"/>
          </w:rPr>
          <w:t>https://www.bbc.com/news/world-asia-india-52086274</w:t>
        </w:r>
      </w:hyperlink>
    </w:p>
  </w:footnote>
  <w:footnote w:id="12">
    <w:p w:rsidR="00131010" w:rsidRDefault="00131010" w:rsidP="00131010">
      <w:pPr>
        <w:pStyle w:val="FootnoteText"/>
        <w:spacing w:after="0" w:line="240" w:lineRule="auto"/>
        <w:contextualSpacing/>
        <w:jc w:val="both"/>
        <w:rPr>
          <w:rFonts w:cstheme="minorHAnsi"/>
          <w:szCs w:val="18"/>
        </w:rPr>
      </w:pPr>
      <w:r w:rsidRPr="008B02AE">
        <w:rPr>
          <w:rStyle w:val="FootnoteReference"/>
          <w:rFonts w:cstheme="minorHAnsi"/>
          <w:szCs w:val="18"/>
        </w:rPr>
        <w:footnoteRef/>
      </w:r>
    </w:p>
    <w:p w:rsidR="00131010" w:rsidRPr="008B02AE" w:rsidRDefault="00131010" w:rsidP="00131010">
      <w:pPr>
        <w:pStyle w:val="FootnoteText"/>
        <w:spacing w:after="0" w:line="240" w:lineRule="auto"/>
        <w:contextualSpacing/>
        <w:jc w:val="both"/>
        <w:rPr>
          <w:rFonts w:cstheme="minorHAnsi"/>
          <w:szCs w:val="18"/>
        </w:rPr>
      </w:pPr>
      <w:r w:rsidRPr="008B02AE">
        <w:rPr>
          <w:rFonts w:cstheme="minorHAnsi"/>
          <w:szCs w:val="18"/>
        </w:rPr>
        <w:t xml:space="preserve"> </w:t>
      </w:r>
      <w:proofErr w:type="spellStart"/>
      <w:r w:rsidRPr="0035031E">
        <w:rPr>
          <w:rFonts w:cstheme="minorHAnsi"/>
          <w:color w:val="222222"/>
          <w:szCs w:val="18"/>
          <w:shd w:val="clear" w:color="auto" w:fill="FFFFFF"/>
        </w:rPr>
        <w:t>Liljas</w:t>
      </w:r>
      <w:proofErr w:type="spellEnd"/>
      <w:r w:rsidRPr="0035031E">
        <w:rPr>
          <w:rFonts w:cstheme="minorHAnsi"/>
          <w:color w:val="222222"/>
          <w:szCs w:val="18"/>
          <w:shd w:val="clear" w:color="auto" w:fill="FFFFFF"/>
        </w:rPr>
        <w:t>, P. (2014). Liberia’s west point slum reels from the nightmare of Ebola. </w:t>
      </w:r>
      <w:r w:rsidRPr="0035031E">
        <w:rPr>
          <w:rFonts w:cstheme="minorHAnsi"/>
          <w:i/>
          <w:iCs/>
          <w:color w:val="222222"/>
          <w:szCs w:val="18"/>
          <w:shd w:val="clear" w:color="auto" w:fill="FFFFFF"/>
        </w:rPr>
        <w:t>Retrieved January</w:t>
      </w:r>
      <w:r w:rsidRPr="0035031E">
        <w:rPr>
          <w:rFonts w:cstheme="minorHAnsi"/>
          <w:color w:val="222222"/>
          <w:szCs w:val="18"/>
          <w:shd w:val="clear" w:color="auto" w:fill="FFFFFF"/>
        </w:rPr>
        <w:t> </w:t>
      </w:r>
      <w:r w:rsidRPr="0035031E">
        <w:rPr>
          <w:rFonts w:cstheme="minorHAnsi"/>
          <w:i/>
          <w:iCs/>
          <w:color w:val="222222"/>
          <w:szCs w:val="18"/>
          <w:shd w:val="clear" w:color="auto" w:fill="FFFFFF"/>
        </w:rPr>
        <w:t>11</w:t>
      </w:r>
      <w:r w:rsidRPr="0035031E">
        <w:rPr>
          <w:rFonts w:cstheme="minorHAnsi"/>
          <w:color w:val="222222"/>
          <w:szCs w:val="18"/>
          <w:shd w:val="clear" w:color="auto" w:fill="FFFFFF"/>
        </w:rPr>
        <w:t>, 2015.</w:t>
      </w:r>
    </w:p>
  </w:footnote>
  <w:footnote w:id="13">
    <w:p w:rsidR="00131010" w:rsidRDefault="00131010" w:rsidP="00131010">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staple foods unaffordable.</w:t>
      </w:r>
    </w:p>
  </w:footnote>
  <w:footnote w:id="14">
    <w:p w:rsidR="00131010" w:rsidRDefault="00131010" w:rsidP="00131010">
      <w:pPr>
        <w:pStyle w:val="FootnoteText"/>
        <w:contextualSpacing/>
      </w:pPr>
      <w:r>
        <w:rPr>
          <w:rStyle w:val="FootnoteReference"/>
        </w:rPr>
        <w:footnoteRef/>
      </w:r>
      <w:r>
        <w:t xml:space="preserve"> </w:t>
      </w:r>
      <w:r w:rsidRPr="00DD13B5">
        <w:rPr>
          <w:color w:val="auto"/>
        </w:rPr>
        <w:t>Government decree #184 of March 23, 2020, “</w:t>
      </w:r>
      <w:r w:rsidRPr="00DD13B5">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0"/>
    <w:rsid w:val="00033D00"/>
    <w:rsid w:val="000A3695"/>
    <w:rsid w:val="001111BC"/>
    <w:rsid w:val="00131010"/>
    <w:rsid w:val="00242B0F"/>
    <w:rsid w:val="00343BED"/>
    <w:rsid w:val="005A198C"/>
    <w:rsid w:val="00787783"/>
    <w:rsid w:val="00A86EA0"/>
    <w:rsid w:val="00B24D9A"/>
    <w:rsid w:val="00B60E57"/>
    <w:rsid w:val="00DC124A"/>
    <w:rsid w:val="00E478EB"/>
    <w:rsid w:val="00F1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0E301-F513-4141-A750-4822DCC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10"/>
    <w:rPr>
      <w:rFonts w:asciiTheme="minorHAnsi" w:hAnsiTheme="minorHAnsi"/>
    </w:rPr>
  </w:style>
  <w:style w:type="paragraph" w:styleId="Heading1">
    <w:name w:val="heading 1"/>
    <w:basedOn w:val="Normal"/>
    <w:next w:val="Normal"/>
    <w:link w:val="Heading1Char"/>
    <w:uiPriority w:val="9"/>
    <w:qFormat/>
    <w:rsid w:val="00131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13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131010"/>
    <w:pPr>
      <w:ind w:left="720"/>
      <w:contextualSpacing/>
    </w:pPr>
  </w:style>
  <w:style w:type="character" w:styleId="Hyperlink">
    <w:name w:val="Hyperlink"/>
    <w:uiPriority w:val="99"/>
    <w:unhideWhenUsed/>
    <w:rsid w:val="00131010"/>
    <w:rPr>
      <w:rFonts w:cs="Times New Roman"/>
      <w:color w:val="0000FF"/>
      <w:u w:val="single"/>
    </w:rPr>
  </w:style>
  <w:style w:type="character" w:customStyle="1" w:styleId="normaltextrun">
    <w:name w:val="normaltextrun"/>
    <w:basedOn w:val="DefaultParagraphFont"/>
    <w:rsid w:val="00131010"/>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131010"/>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131010"/>
    <w:rPr>
      <w:rFonts w:asciiTheme="minorHAnsi" w:eastAsiaTheme="minorEastAsia" w:hAnsiTheme="minorHAnsi"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13101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131010"/>
    <w:pPr>
      <w:spacing w:line="240" w:lineRule="exact"/>
    </w:pPr>
    <w:rPr>
      <w:rFonts w:ascii="Sylfaen" w:hAnsi="Sylfaen"/>
      <w:vertAlign w:val="superscript"/>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31010"/>
    <w:rPr>
      <w:rFonts w:asciiTheme="minorHAnsi" w:hAnsiTheme="minorHAnsi"/>
    </w:rPr>
  </w:style>
  <w:style w:type="character" w:customStyle="1" w:styleId="normaltextrun1">
    <w:name w:val="normaltextrun1"/>
    <w:basedOn w:val="DefaultParagraphFont"/>
    <w:rsid w:val="00131010"/>
  </w:style>
  <w:style w:type="paragraph" w:customStyle="1" w:styleId="Default">
    <w:name w:val="Default"/>
    <w:rsid w:val="00131010"/>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31010"/>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31010"/>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31010"/>
    <w:rPr>
      <w:rFonts w:ascii="Arial" w:eastAsia="Arial" w:hAnsi="Arial" w:cs="Arial"/>
      <w:noProof/>
    </w:rPr>
  </w:style>
  <w:style w:type="character" w:customStyle="1" w:styleId="tlid-translation">
    <w:name w:val="tlid-translation"/>
    <w:basedOn w:val="DefaultParagraphFont"/>
    <w:rsid w:val="00131010"/>
  </w:style>
  <w:style w:type="paragraph" w:customStyle="1" w:styleId="ydpe76c8109msolistparagraph">
    <w:name w:val="ydpe76c8109msolistparagraph"/>
    <w:basedOn w:val="Normal"/>
    <w:rsid w:val="00131010"/>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3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1010"/>
    <w:rPr>
      <w:rFonts w:asciiTheme="majorHAnsi" w:eastAsiaTheme="majorEastAsia" w:hAnsiTheme="majorHAnsi" w:cstheme="majorBidi"/>
      <w:color w:val="2E74B5" w:themeColor="accent1" w:themeShade="BF"/>
      <w:sz w:val="32"/>
      <w:szCs w:val="32"/>
    </w:rPr>
  </w:style>
  <w:style w:type="table" w:styleId="LightGrid-Accent1">
    <w:name w:val="Light Grid Accent 1"/>
    <w:basedOn w:val="TableNormal"/>
    <w:uiPriority w:val="62"/>
    <w:rsid w:val="00343BED"/>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m/news/world-asia-india-52086274" TargetMode="External"/><Relationship Id="rId2" Type="http://schemas.openxmlformats.org/officeDocument/2006/relationships/hyperlink" Target="https://www.imperial.ac.uk/media/imperial-college/medicine/sph/ide/gida-fellowships/Imperial-College-COVID19-NPI-modelling-16-03-2020.pdf" TargetMode="External"/><Relationship Id="rId1" Type="http://schemas.openxmlformats.org/officeDocument/2006/relationships/hyperlink" Target="https://stopcov.gov.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2020-05-13T12:06:00Z</dcterms:created>
  <dcterms:modified xsi:type="dcterms:W3CDTF">2020-05-13T12:06:00Z</dcterms:modified>
</cp:coreProperties>
</file>